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OEA/Ser.L/XVII.4.2.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r>
              <w:rPr>
                <w:b/>
                <w:sz w:val="22"/>
                <w:szCs w:val="22"/>
              </w:rPr>
              <w:t>english</w:t>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szCs w:val="24"/>
              </w:rPr>
            </w:pPr>
            <w:r>
              <w:rPr>
                <w:b/>
                <w:sz w:val="24"/>
                <w:szCs w:val="24"/>
              </w:rPr>
              <w:t>U.S. PROPOSAL</w:t>
            </w:r>
            <w:r w:rsidRPr="00273988">
              <w:rPr>
                <w:b/>
                <w:sz w:val="24"/>
                <w:szCs w:val="24"/>
              </w:rPr>
              <w:t xml:space="preserve"> ON WRC-19 AGENDA ITEM 1.1</w:t>
            </w:r>
            <w:r w:rsidR="007515DA">
              <w:rPr>
                <w:b/>
                <w:sz w:val="24"/>
                <w:szCs w:val="24"/>
              </w:rPr>
              <w:t>3</w:t>
            </w:r>
          </w:p>
          <w:p w:rsidR="007515DA" w:rsidRDefault="007515DA" w:rsidP="003902FE">
            <w:pPr>
              <w:spacing w:before="120"/>
              <w:jc w:val="center"/>
              <w:rPr>
                <w:b/>
                <w:sz w:val="24"/>
              </w:rPr>
            </w:pPr>
            <w:r>
              <w:rPr>
                <w:b/>
                <w:sz w:val="24"/>
              </w:rPr>
              <w:t>(71 – 76 / 81 – 86 GHz)</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(Item on the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(Document submitted by the delegation of the United States of America)</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8"/>
          <w:footerReference w:type="default" r:id="rId9"/>
          <w:headerReference w:type="first" r:id="rId10"/>
          <w:footerReference w:type="first" r:id="rId11"/>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bookmarkEnd w:id="0"/>
    <w:p w:rsidR="007515DA" w:rsidRPr="008232CE" w:rsidRDefault="007515DA" w:rsidP="007515DA">
      <w:pPr>
        <w:spacing w:after="120"/>
        <w:jc w:val="both"/>
        <w:rPr>
          <w:sz w:val="22"/>
          <w:szCs w:val="22"/>
        </w:rPr>
      </w:pPr>
      <w:r w:rsidRPr="008232CE">
        <w:rPr>
          <w:sz w:val="22"/>
          <w:szCs w:val="22"/>
        </w:rPr>
        <w:t xml:space="preserve">This document contains an attachment </w:t>
      </w:r>
      <w:r>
        <w:rPr>
          <w:sz w:val="22"/>
          <w:szCs w:val="22"/>
        </w:rPr>
        <w:t>including the updated USA proposal on WRC-19 Agenda Item 1.13 (71 – 76 GHz</w:t>
      </w:r>
      <w:r w:rsidR="002D5B5E">
        <w:rPr>
          <w:sz w:val="22"/>
          <w:szCs w:val="22"/>
        </w:rPr>
        <w:t xml:space="preserve"> and 81 – 86 GHz</w:t>
      </w:r>
      <w:r>
        <w:rPr>
          <w:sz w:val="22"/>
          <w:szCs w:val="22"/>
        </w:rPr>
        <w:t>)  for consideration in CITEL’s preparation</w:t>
      </w:r>
      <w:r w:rsidR="007A6D4C">
        <w:rPr>
          <w:sz w:val="22"/>
          <w:szCs w:val="22"/>
        </w:rPr>
        <w:t>s</w:t>
      </w:r>
      <w:bookmarkStart w:id="1" w:name="_GoBack"/>
      <w:bookmarkEnd w:id="1"/>
      <w:r>
        <w:rPr>
          <w:sz w:val="22"/>
          <w:szCs w:val="22"/>
        </w:rPr>
        <w:t xml:space="preserve"> </w:t>
      </w:r>
      <w:r w:rsidR="007A6D4C">
        <w:rPr>
          <w:sz w:val="22"/>
          <w:szCs w:val="22"/>
        </w:rPr>
        <w:t>on</w:t>
      </w:r>
      <w:r>
        <w:rPr>
          <w:sz w:val="22"/>
          <w:szCs w:val="22"/>
        </w:rPr>
        <w:t xml:space="preserve"> WRC-19 Agenda Item 1.13.</w:t>
      </w:r>
    </w:p>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2D5B5E" w:rsidRPr="002D5B5E" w:rsidRDefault="002D5B5E" w:rsidP="002D5B5E">
      <w:pPr>
        <w:rPr>
          <w:sz w:val="24"/>
          <w:szCs w:val="24"/>
        </w:rPr>
      </w:pPr>
      <w:r w:rsidRPr="002D5B5E">
        <w:rPr>
          <w:sz w:val="24"/>
          <w:szCs w:val="24"/>
        </w:rPr>
        <w:t>1.13</w:t>
      </w:r>
      <w:r w:rsidRPr="002D5B5E">
        <w:rPr>
          <w:sz w:val="24"/>
          <w:szCs w:val="24"/>
        </w:rPr>
        <w:tab/>
      </w:r>
      <w:r w:rsidRPr="002D5B5E">
        <w:rPr>
          <w:i/>
          <w:sz w:val="24"/>
          <w:szCs w:val="24"/>
        </w:rPr>
        <w:t xml:space="preserve">to consider identification of frequency bands for the future development of International Mobile Telecommunications (IMT), including possible additional allocations to the mobile service on a primary basis, in accordance with Resolution </w:t>
      </w:r>
      <w:r w:rsidRPr="002D5B5E">
        <w:rPr>
          <w:b/>
          <w:bCs/>
          <w:i/>
          <w:sz w:val="24"/>
          <w:szCs w:val="24"/>
        </w:rPr>
        <w:t>238 (WRC-15)</w:t>
      </w:r>
      <w:r w:rsidRPr="002D5B5E">
        <w:rPr>
          <w:i/>
          <w:sz w:val="24"/>
          <w:szCs w:val="24"/>
        </w:rPr>
        <w:t>;</w:t>
      </w:r>
    </w:p>
    <w:p w:rsidR="002D5B5E" w:rsidRPr="002D5B5E" w:rsidRDefault="002D5B5E" w:rsidP="002D5B5E">
      <w:pPr>
        <w:widowControl w:val="0"/>
        <w:rPr>
          <w:b/>
          <w:bCs/>
          <w:sz w:val="24"/>
          <w:szCs w:val="24"/>
        </w:rPr>
      </w:pPr>
    </w:p>
    <w:p w:rsidR="002D5B5E" w:rsidRPr="002D5B5E" w:rsidRDefault="002D5B5E" w:rsidP="002D5B5E">
      <w:pPr>
        <w:widowControl w:val="0"/>
        <w:rPr>
          <w:sz w:val="24"/>
          <w:szCs w:val="24"/>
        </w:rPr>
      </w:pPr>
      <w:r w:rsidRPr="002D5B5E">
        <w:rPr>
          <w:b/>
          <w:bCs/>
          <w:sz w:val="24"/>
          <w:szCs w:val="24"/>
        </w:rPr>
        <w:t>Background</w:t>
      </w:r>
      <w:r w:rsidRPr="002D5B5E">
        <w:rPr>
          <w:sz w:val="24"/>
          <w:szCs w:val="24"/>
        </w:rPr>
        <w:t xml:space="preserve">: </w:t>
      </w:r>
    </w:p>
    <w:p w:rsidR="002D5B5E" w:rsidRPr="002D5B5E" w:rsidRDefault="002D5B5E" w:rsidP="002D5B5E">
      <w:pPr>
        <w:spacing w:before="120"/>
        <w:rPr>
          <w:iCs/>
          <w:sz w:val="24"/>
          <w:szCs w:val="24"/>
        </w:rPr>
      </w:pPr>
      <w:r w:rsidRPr="002D5B5E">
        <w:rPr>
          <w:iCs/>
          <w:sz w:val="24"/>
          <w:szCs w:val="24"/>
        </w:rPr>
        <w:t xml:space="preserve">Resolution </w:t>
      </w:r>
      <w:r w:rsidRPr="002D5B5E">
        <w:rPr>
          <w:b/>
          <w:bCs/>
          <w:iCs/>
          <w:sz w:val="24"/>
          <w:szCs w:val="24"/>
        </w:rPr>
        <w:t xml:space="preserve">238 (WRC-15) </w:t>
      </w:r>
      <w:r w:rsidRPr="002D5B5E">
        <w:rPr>
          <w:iCs/>
          <w:sz w:val="24"/>
          <w:szCs w:val="24"/>
        </w:rPr>
        <w:t xml:space="preserve">calls for studies to determine the spectrum needs for the terrestrial component of IMT in the frequency range between 24.25 GHz and 86 GHz, as well as sharing and compatibility studies, taking into account the protection of services to which the </w:t>
      </w:r>
      <w:r w:rsidRPr="002D5B5E">
        <w:rPr>
          <w:sz w:val="24"/>
          <w:szCs w:val="22"/>
        </w:rPr>
        <w:t xml:space="preserve">frequency </w:t>
      </w:r>
      <w:r w:rsidRPr="002D5B5E">
        <w:rPr>
          <w:iCs/>
          <w:sz w:val="24"/>
          <w:szCs w:val="24"/>
        </w:rPr>
        <w:t>band is allocated on a primary basis, for the frequency bands:</w:t>
      </w:r>
    </w:p>
    <w:p w:rsidR="002D5B5E" w:rsidRPr="002D5B5E" w:rsidRDefault="002D5B5E" w:rsidP="002D5B5E">
      <w:pPr>
        <w:tabs>
          <w:tab w:val="left" w:pos="1134"/>
          <w:tab w:val="left" w:pos="1871"/>
          <w:tab w:val="left" w:pos="2608"/>
          <w:tab w:val="left" w:pos="3345"/>
        </w:tabs>
        <w:overflowPunct w:val="0"/>
        <w:autoSpaceDE w:val="0"/>
        <w:autoSpaceDN w:val="0"/>
        <w:adjustRightInd w:val="0"/>
        <w:spacing w:before="120"/>
        <w:ind w:left="1134" w:hanging="1134"/>
        <w:textAlignment w:val="baseline"/>
        <w:rPr>
          <w:sz w:val="24"/>
          <w:lang w:val="en-GB" w:eastAsia="x-none"/>
        </w:rPr>
      </w:pPr>
      <w:r w:rsidRPr="002D5B5E">
        <w:rPr>
          <w:sz w:val="24"/>
          <w:lang w:val="en-GB" w:eastAsia="x-none"/>
        </w:rPr>
        <w:t>–</w:t>
      </w:r>
      <w:r w:rsidRPr="002D5B5E">
        <w:rPr>
          <w:sz w:val="24"/>
          <w:lang w:val="en-GB" w:eastAsia="x-none"/>
        </w:rPr>
        <w:tab/>
        <w:t>24.25-27.5 GHz, 37-40.5 GHz, 42.5-43.5 GHz, 45.5-47 GHz, 47.2-50.2 GHz, 50.4</w:t>
      </w:r>
      <w:r w:rsidRPr="002D5B5E">
        <w:rPr>
          <w:sz w:val="24"/>
          <w:lang w:val="en-GB" w:eastAsia="x-none"/>
        </w:rPr>
        <w:noBreakHyphen/>
        <w:t>52.6 GHz, 66-76 GHz and 81-86 GHz, which have allocations to the mobile service on a primary basis; and</w:t>
      </w:r>
    </w:p>
    <w:p w:rsidR="002D5B5E" w:rsidRPr="002D5B5E" w:rsidRDefault="002D5B5E" w:rsidP="002D5B5E">
      <w:pPr>
        <w:tabs>
          <w:tab w:val="left" w:pos="1134"/>
          <w:tab w:val="left" w:pos="1871"/>
          <w:tab w:val="left" w:pos="2608"/>
          <w:tab w:val="left" w:pos="3345"/>
        </w:tabs>
        <w:overflowPunct w:val="0"/>
        <w:autoSpaceDE w:val="0"/>
        <w:autoSpaceDN w:val="0"/>
        <w:adjustRightInd w:val="0"/>
        <w:spacing w:before="120"/>
        <w:ind w:left="1134" w:hanging="1134"/>
        <w:textAlignment w:val="baseline"/>
        <w:rPr>
          <w:sz w:val="24"/>
          <w:lang w:val="en-GB" w:eastAsia="x-none"/>
        </w:rPr>
      </w:pPr>
      <w:r w:rsidRPr="002D5B5E">
        <w:rPr>
          <w:sz w:val="24"/>
          <w:lang w:val="en-GB" w:eastAsia="x-none"/>
        </w:rPr>
        <w:t>–</w:t>
      </w:r>
      <w:r w:rsidRPr="002D5B5E">
        <w:rPr>
          <w:sz w:val="24"/>
          <w:lang w:val="en-GB" w:eastAsia="x-none"/>
        </w:rPr>
        <w:tab/>
        <w:t>31.8-33.4 GHz, 40.5-42.5 GHz and 47-47.2 GHz, which may require additional allocations to the mobile service on a primary basis.</w:t>
      </w:r>
    </w:p>
    <w:p w:rsidR="002D5B5E" w:rsidRPr="002D5B5E" w:rsidRDefault="002D5B5E" w:rsidP="002D5B5E">
      <w:pPr>
        <w:spacing w:before="120"/>
        <w:rPr>
          <w:sz w:val="24"/>
          <w:szCs w:val="24"/>
        </w:rPr>
      </w:pPr>
      <w:r w:rsidRPr="002D5B5E">
        <w:rPr>
          <w:sz w:val="24"/>
          <w:szCs w:val="24"/>
        </w:rPr>
        <w:t>Mobile broadband plays an increasingly crucial role in providing access to businesses and consumers worldwide.  According to International Telecommunications Union (ITU) statistics, “Mobile-broadband subscriptions have grown more than 20% annually in the last five years and are expected to reach 4.3 billion globally by end 2017.” while “Mobile-broadband prices as a percentage of GNI per capita halved between 2013 and 2016 worldwide.</w:t>
      </w:r>
      <w:r w:rsidRPr="002D5B5E">
        <w:rPr>
          <w:sz w:val="24"/>
          <w:szCs w:val="24"/>
          <w:vertAlign w:val="superscript"/>
        </w:rPr>
        <w:footnoteReference w:id="1"/>
      </w:r>
      <w:r w:rsidRPr="002D5B5E">
        <w:rPr>
          <w:sz w:val="24"/>
          <w:szCs w:val="24"/>
        </w:rPr>
        <w:t xml:space="preserve"> </w:t>
      </w:r>
    </w:p>
    <w:p w:rsidR="002D5B5E" w:rsidRPr="002D5B5E" w:rsidRDefault="002D5B5E" w:rsidP="002D5B5E">
      <w:pPr>
        <w:spacing w:before="120"/>
        <w:rPr>
          <w:sz w:val="24"/>
          <w:szCs w:val="24"/>
          <w:lang w:eastAsia="ja-JP"/>
        </w:rPr>
      </w:pPr>
      <w:r w:rsidRPr="002D5B5E">
        <w:rPr>
          <w:sz w:val="24"/>
          <w:szCs w:val="24"/>
        </w:rPr>
        <w:t xml:space="preserve"> </w:t>
      </w:r>
      <w:r w:rsidRPr="002D5B5E">
        <w:rPr>
          <w:iCs/>
          <w:sz w:val="24"/>
          <w:szCs w:val="24"/>
        </w:rPr>
        <w:t>The rising demand for mobile broadband has created increased capacity requirements in the backhaul or transport network.  The 71–76 GHz and 81–86 GHz frequency ranges are important for the provision of Fixed Service (FS) backhaul for mobile broadband services.  These frequency ranges offer very wide bandwidth, enabling capacities on the order of 10 Gigabit per second or more over distances of a few kilometers and represent an alternative to fiber deployment: this data rate cannot be achieved in other frequency bands that are bandwidth-limited.  It is expected that the demand for high-capacity backhaul will create momentum for the transition from lower bands to these frequency ranges.  Point-to-point microwave radios used by FS are a key component in many mobile networks, as well as Fixed Service microwave links for various uses including broadcast, utilities and public safety.  The 71-76 GHz and 81-86 GHz frequency ranges are expected to experience major growth in Fixed Service use and represent up to 20 percent of new backhaul deployments annually by 2020</w:t>
      </w:r>
      <w:r>
        <w:rPr>
          <w:rStyle w:val="FootnoteReference"/>
          <w:iCs/>
          <w:sz w:val="24"/>
          <w:szCs w:val="24"/>
        </w:rPr>
        <w:footnoteReference w:id="2"/>
      </w:r>
      <w:r w:rsidRPr="002D5B5E">
        <w:rPr>
          <w:iCs/>
          <w:sz w:val="24"/>
          <w:szCs w:val="24"/>
        </w:rPr>
        <w:t xml:space="preserve">. </w:t>
      </w:r>
    </w:p>
    <w:p w:rsidR="002D5B5E" w:rsidRPr="002D5B5E" w:rsidRDefault="002D5B5E" w:rsidP="002D5B5E">
      <w:pPr>
        <w:spacing w:before="120"/>
        <w:rPr>
          <w:sz w:val="24"/>
          <w:szCs w:val="24"/>
          <w:lang w:eastAsia="ja-JP"/>
        </w:rPr>
      </w:pPr>
      <w:r w:rsidRPr="002D5B5E">
        <w:rPr>
          <w:sz w:val="24"/>
          <w:szCs w:val="24"/>
          <w:lang w:eastAsia="ja-JP"/>
        </w:rPr>
        <w:t>In order to provide important backhaul services including those which support IMT-2020 deployments, no changes are proposed for the 71-76 GHz and 81-86 GHz frequency ranges.</w:t>
      </w:r>
    </w:p>
    <w:p w:rsidR="002D5B5E" w:rsidRPr="002D5B5E" w:rsidRDefault="002D5B5E" w:rsidP="002D5B5E">
      <w:pPr>
        <w:tabs>
          <w:tab w:val="left" w:pos="8415"/>
        </w:tabs>
        <w:spacing w:before="120"/>
        <w:rPr>
          <w:b/>
          <w:sz w:val="24"/>
          <w:szCs w:val="24"/>
          <w:lang w:eastAsia="ja-JP"/>
        </w:rPr>
      </w:pPr>
      <w:r w:rsidRPr="002D5B5E">
        <w:rPr>
          <w:b/>
          <w:sz w:val="24"/>
          <w:szCs w:val="24"/>
          <w:lang w:eastAsia="ja-JP"/>
        </w:rPr>
        <w:tab/>
      </w:r>
    </w:p>
    <w:p w:rsidR="002D5B5E" w:rsidRPr="002D5B5E" w:rsidRDefault="002D5B5E" w:rsidP="002D5B5E">
      <w:pPr>
        <w:spacing w:before="120"/>
        <w:rPr>
          <w:b/>
          <w:sz w:val="24"/>
          <w:szCs w:val="24"/>
          <w:lang w:eastAsia="ja-JP"/>
        </w:rPr>
      </w:pPr>
      <w:r w:rsidRPr="002D5B5E">
        <w:rPr>
          <w:b/>
          <w:sz w:val="24"/>
          <w:szCs w:val="24"/>
          <w:lang w:eastAsia="ja-JP"/>
        </w:rPr>
        <w:t>Proposals:</w:t>
      </w:r>
    </w:p>
    <w:p w:rsidR="002D5B5E" w:rsidRPr="002D5B5E" w:rsidRDefault="002D5B5E" w:rsidP="002D5B5E">
      <w:pPr>
        <w:keepNext/>
        <w:keepLines/>
        <w:tabs>
          <w:tab w:val="left" w:pos="1134"/>
          <w:tab w:val="left" w:pos="1871"/>
          <w:tab w:val="left" w:pos="2268"/>
        </w:tabs>
        <w:overflowPunct w:val="0"/>
        <w:autoSpaceDE w:val="0"/>
        <w:autoSpaceDN w:val="0"/>
        <w:adjustRightInd w:val="0"/>
        <w:jc w:val="center"/>
        <w:textAlignment w:val="baseline"/>
        <w:rPr>
          <w:caps/>
          <w:sz w:val="28"/>
          <w:lang w:val="en-AU" w:eastAsia="x-none"/>
        </w:rPr>
      </w:pPr>
      <w:r w:rsidRPr="002D5B5E">
        <w:rPr>
          <w:caps/>
          <w:sz w:val="28"/>
          <w:lang w:val="en-GB" w:eastAsia="x-none"/>
        </w:rPr>
        <w:lastRenderedPageBreak/>
        <w:t>ARTICLE</w:t>
      </w:r>
      <w:r w:rsidRPr="002D5B5E">
        <w:rPr>
          <w:caps/>
          <w:sz w:val="28"/>
          <w:lang w:val="en-AU" w:eastAsia="x-none"/>
        </w:rPr>
        <w:t xml:space="preserve"> </w:t>
      </w:r>
      <w:r w:rsidRPr="002D5B5E">
        <w:rPr>
          <w:caps/>
          <w:color w:val="000000"/>
          <w:sz w:val="28"/>
          <w:lang w:val="en-AU" w:eastAsia="x-none"/>
        </w:rPr>
        <w:t>5</w:t>
      </w:r>
    </w:p>
    <w:p w:rsidR="002D5B5E" w:rsidRPr="002D5B5E" w:rsidRDefault="002D5B5E" w:rsidP="002D5B5E">
      <w:pPr>
        <w:keepNext/>
        <w:keepLines/>
        <w:tabs>
          <w:tab w:val="left" w:pos="1134"/>
          <w:tab w:val="left" w:pos="1871"/>
          <w:tab w:val="left" w:pos="2268"/>
        </w:tabs>
        <w:overflowPunct w:val="0"/>
        <w:autoSpaceDE w:val="0"/>
        <w:autoSpaceDN w:val="0"/>
        <w:adjustRightInd w:val="0"/>
        <w:spacing w:before="240"/>
        <w:jc w:val="center"/>
        <w:textAlignment w:val="baseline"/>
        <w:rPr>
          <w:b/>
          <w:sz w:val="28"/>
          <w:lang w:eastAsia="x-none"/>
        </w:rPr>
      </w:pPr>
      <w:r w:rsidRPr="002D5B5E">
        <w:rPr>
          <w:b/>
          <w:sz w:val="28"/>
          <w:lang w:val="en-GB" w:eastAsia="x-none"/>
        </w:rPr>
        <w:t>Frequency allocations</w:t>
      </w:r>
    </w:p>
    <w:p w:rsidR="002D5B5E" w:rsidRPr="002D5B5E" w:rsidRDefault="002D5B5E" w:rsidP="002D5B5E">
      <w:pPr>
        <w:keepNext/>
        <w:tabs>
          <w:tab w:val="center" w:pos="4820"/>
        </w:tabs>
        <w:overflowPunct w:val="0"/>
        <w:autoSpaceDE w:val="0"/>
        <w:autoSpaceDN w:val="0"/>
        <w:adjustRightInd w:val="0"/>
        <w:spacing w:before="360"/>
        <w:jc w:val="center"/>
        <w:textAlignment w:val="baseline"/>
        <w:rPr>
          <w:b/>
          <w:sz w:val="24"/>
          <w:lang w:val="en-GB"/>
        </w:rPr>
      </w:pPr>
      <w:r w:rsidRPr="002D5B5E">
        <w:rPr>
          <w:b/>
          <w:sz w:val="24"/>
          <w:lang w:val="en-GB"/>
        </w:rPr>
        <w:t>Section</w:t>
      </w:r>
      <w:r w:rsidRPr="002D5B5E">
        <w:rPr>
          <w:b/>
          <w:sz w:val="24"/>
          <w:lang w:val="en-AU"/>
        </w:rPr>
        <w:t xml:space="preserve"> IV – Table of Frequency Allocations</w:t>
      </w:r>
      <w:r w:rsidRPr="002D5B5E">
        <w:rPr>
          <w:b/>
          <w:sz w:val="24"/>
          <w:lang w:val="en-AU"/>
        </w:rPr>
        <w:br/>
      </w:r>
      <w:r w:rsidRPr="002D5B5E">
        <w:rPr>
          <w:bCs/>
          <w:sz w:val="24"/>
          <w:lang w:val="en-GB"/>
        </w:rPr>
        <w:t xml:space="preserve">(See No. </w:t>
      </w:r>
      <w:r w:rsidRPr="002D5B5E">
        <w:rPr>
          <w:b/>
          <w:sz w:val="24"/>
          <w:lang w:val="en-GB"/>
        </w:rPr>
        <w:t>2.1</w:t>
      </w:r>
      <w:r w:rsidRPr="002D5B5E">
        <w:rPr>
          <w:bCs/>
          <w:sz w:val="24"/>
          <w:lang w:val="en-GB"/>
        </w:rPr>
        <w:t>)</w:t>
      </w:r>
      <w:r w:rsidRPr="002D5B5E">
        <w:rPr>
          <w:bCs/>
          <w:sz w:val="24"/>
          <w:lang w:val="en-GB"/>
        </w:rPr>
        <w:br/>
      </w:r>
      <w:r w:rsidRPr="002D5B5E">
        <w:rPr>
          <w:b/>
          <w:sz w:val="24"/>
          <w:lang w:val="en-GB"/>
        </w:rPr>
        <w:br/>
      </w:r>
    </w:p>
    <w:p w:rsidR="002D5B5E" w:rsidRPr="002D5B5E" w:rsidRDefault="002D5B5E" w:rsidP="002D5B5E">
      <w:pPr>
        <w:keepNext/>
        <w:tabs>
          <w:tab w:val="left" w:pos="1134"/>
          <w:tab w:val="left" w:pos="1871"/>
          <w:tab w:val="left" w:pos="2268"/>
        </w:tabs>
        <w:overflowPunct w:val="0"/>
        <w:autoSpaceDE w:val="0"/>
        <w:autoSpaceDN w:val="0"/>
        <w:adjustRightInd w:val="0"/>
        <w:spacing w:before="240"/>
        <w:textAlignment w:val="baseline"/>
        <w:rPr>
          <w:b/>
          <w:sz w:val="24"/>
          <w:lang w:val="en-GB"/>
        </w:rPr>
      </w:pPr>
      <w:r w:rsidRPr="002D5B5E">
        <w:rPr>
          <w:b/>
          <w:sz w:val="24"/>
          <w:u w:val="single"/>
          <w:lang w:val="en-GB"/>
        </w:rPr>
        <w:t>NOC</w:t>
      </w:r>
      <w:r w:rsidRPr="002D5B5E">
        <w:rPr>
          <w:b/>
          <w:sz w:val="24"/>
          <w:lang w:val="en-GB"/>
        </w:rPr>
        <w:tab/>
        <w:t>USA/1.13/1</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2D5B5E" w:rsidRPr="002D5B5E" w:rsidTr="00927610">
        <w:trPr>
          <w:cantSplit/>
          <w:jc w:val="center"/>
        </w:trPr>
        <w:tc>
          <w:tcPr>
            <w:tcW w:w="9304" w:type="dxa"/>
            <w:gridSpan w:val="3"/>
            <w:tcBorders>
              <w:top w:val="nil"/>
              <w:left w:val="nil"/>
              <w:bottom w:val="single" w:sz="4" w:space="0" w:color="auto"/>
              <w:right w:val="nil"/>
            </w:tcBorders>
          </w:tcPr>
          <w:p w:rsidR="002D5B5E" w:rsidRPr="002D5B5E" w:rsidRDefault="002D5B5E" w:rsidP="002D5B5E">
            <w:pPr>
              <w:keepNext/>
              <w:overflowPunct w:val="0"/>
              <w:autoSpaceDE w:val="0"/>
              <w:autoSpaceDN w:val="0"/>
              <w:adjustRightInd w:val="0"/>
              <w:spacing w:after="120"/>
              <w:jc w:val="center"/>
              <w:textAlignment w:val="baseline"/>
              <w:rPr>
                <w:b/>
                <w:sz w:val="24"/>
                <w:szCs w:val="24"/>
                <w:lang w:val="fr-FR"/>
              </w:rPr>
            </w:pPr>
            <w:r w:rsidRPr="002D5B5E">
              <w:rPr>
                <w:b/>
                <w:sz w:val="24"/>
                <w:szCs w:val="24"/>
                <w:lang w:val="fr-FR"/>
              </w:rPr>
              <w:t>66-81 GHz</w:t>
            </w:r>
          </w:p>
        </w:tc>
      </w:tr>
      <w:tr w:rsidR="002D5B5E" w:rsidRPr="002D5B5E" w:rsidTr="0092761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Allocation to services</w:t>
            </w:r>
          </w:p>
        </w:tc>
      </w:tr>
      <w:tr w:rsidR="002D5B5E" w:rsidRPr="002D5B5E" w:rsidTr="00927610">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Region 1</w:t>
            </w:r>
          </w:p>
        </w:tc>
        <w:tc>
          <w:tcPr>
            <w:tcW w:w="3102" w:type="dxa"/>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Region 2</w:t>
            </w:r>
          </w:p>
        </w:tc>
        <w:tc>
          <w:tcPr>
            <w:tcW w:w="3102" w:type="dxa"/>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Region 3</w:t>
            </w:r>
          </w:p>
        </w:tc>
      </w:tr>
      <w:tr w:rsidR="002D5B5E" w:rsidRPr="002D5B5E" w:rsidTr="0092761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b/>
                <w:color w:val="000000"/>
                <w:lang w:val="fr-FR"/>
              </w:rPr>
              <w:t>71-74</w:t>
            </w:r>
            <w:r w:rsidRPr="002D5B5E">
              <w:rPr>
                <w:color w:val="000000"/>
              </w:rPr>
              <w:tab/>
            </w:r>
            <w:r w:rsidRPr="002D5B5E">
              <w:rPr>
                <w:color w:val="000000"/>
              </w:rPr>
              <w:tab/>
            </w:r>
            <w:r w:rsidRPr="002D5B5E">
              <w:rPr>
                <w:color w:val="000000"/>
              </w:rPr>
              <w:tab/>
            </w:r>
            <w:r w:rsidRPr="002D5B5E">
              <w:rPr>
                <w:color w:val="000000"/>
                <w:lang w:val="fr-FR"/>
              </w:rPr>
              <w:t>FIXED</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r>
            <w:r w:rsidRPr="002D5B5E">
              <w:rPr>
                <w:color w:val="000000"/>
                <w:lang w:val="fr-FR"/>
              </w:rPr>
              <w:t>FIXED-SATELLITE (space-to-Earth)</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r>
            <w:r w:rsidRPr="002D5B5E">
              <w:rPr>
                <w:color w:val="000000"/>
                <w:lang w:val="fr-FR"/>
              </w:rPr>
              <w:t>MOBILE</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r>
            <w:r w:rsidRPr="002D5B5E">
              <w:rPr>
                <w:color w:val="000000"/>
                <w:lang w:val="fr-FR"/>
              </w:rPr>
              <w:t>MOBILE-SATELLITE (space-to-Earth)</w:t>
            </w:r>
          </w:p>
        </w:tc>
      </w:tr>
      <w:tr w:rsidR="002D5B5E" w:rsidRPr="002D5B5E" w:rsidTr="0092761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tabs>
                <w:tab w:val="left" w:pos="2977"/>
                <w:tab w:val="left" w:pos="3266"/>
              </w:tabs>
              <w:overflowPunct w:val="0"/>
              <w:autoSpaceDE w:val="0"/>
              <w:autoSpaceDN w:val="0"/>
              <w:adjustRightInd w:val="0"/>
              <w:spacing w:before="30" w:after="30"/>
              <w:textAlignment w:val="baseline"/>
              <w:rPr>
                <w:color w:val="000000"/>
              </w:rPr>
            </w:pPr>
            <w:r w:rsidRPr="002D5B5E">
              <w:rPr>
                <w:b/>
                <w:color w:val="000000"/>
                <w:lang w:val="fr-FR"/>
              </w:rPr>
              <w:t>74-76</w:t>
            </w:r>
            <w:r w:rsidRPr="002D5B5E">
              <w:rPr>
                <w:color w:val="000000"/>
                <w:lang w:val="fr-FR"/>
              </w:rPr>
              <w:tab/>
              <w:t>FIXED</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r>
            <w:r w:rsidRPr="002D5B5E">
              <w:rPr>
                <w:color w:val="000000"/>
              </w:rPr>
              <w:t>FIXED-SATELLITE (space-to-Earth)</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t>MOBILE</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t>BROADCASTING</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t>BROADCASTING-SATELLITE</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sidRPr="002D5B5E">
              <w:rPr>
                <w:color w:val="000000"/>
              </w:rPr>
              <w:tab/>
            </w:r>
            <w:r w:rsidRPr="002D5B5E">
              <w:rPr>
                <w:color w:val="000000"/>
              </w:rPr>
              <w:tab/>
            </w:r>
            <w:r w:rsidRPr="002D5B5E">
              <w:rPr>
                <w:color w:val="000000"/>
              </w:rPr>
              <w:tab/>
            </w:r>
            <w:r w:rsidRPr="002D5B5E">
              <w:rPr>
                <w:color w:val="000000"/>
              </w:rPr>
              <w:tab/>
              <w:t>Space research (space-to-Earth)</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fr-FR"/>
              </w:rPr>
            </w:pPr>
            <w:r w:rsidRPr="002D5B5E">
              <w:rPr>
                <w:color w:val="000000"/>
              </w:rPr>
              <w:tab/>
            </w:r>
            <w:r w:rsidRPr="002D5B5E">
              <w:rPr>
                <w:color w:val="000000"/>
              </w:rPr>
              <w:tab/>
            </w:r>
            <w:r w:rsidRPr="002D5B5E">
              <w:rPr>
                <w:color w:val="000000"/>
              </w:rPr>
              <w:tab/>
            </w:r>
            <w:r w:rsidRPr="002D5B5E">
              <w:rPr>
                <w:color w:val="000000"/>
              </w:rPr>
              <w:tab/>
            </w:r>
            <w:r w:rsidRPr="002D5B5E">
              <w:rPr>
                <w:color w:val="000000"/>
                <w:lang w:val="en-AU"/>
              </w:rPr>
              <w:t xml:space="preserve">5.561           </w:t>
            </w:r>
          </w:p>
        </w:tc>
      </w:tr>
    </w:tbl>
    <w:p w:rsidR="002D5B5E" w:rsidRPr="002D5B5E" w:rsidRDefault="002D5B5E" w:rsidP="002D5B5E">
      <w:pPr>
        <w:rPr>
          <w:sz w:val="24"/>
          <w:szCs w:val="24"/>
          <w:lang w:val="en-GB"/>
        </w:rPr>
      </w:pPr>
    </w:p>
    <w:p w:rsidR="002D5B5E" w:rsidRPr="002D5B5E" w:rsidRDefault="002D5B5E" w:rsidP="002D5B5E">
      <w:pPr>
        <w:rPr>
          <w:sz w:val="24"/>
          <w:szCs w:val="24"/>
          <w:lang w:val="en-GB"/>
        </w:rPr>
      </w:pPr>
      <w:r w:rsidRPr="002D5B5E">
        <w:rPr>
          <w:b/>
          <w:sz w:val="24"/>
          <w:szCs w:val="24"/>
          <w:lang w:val="en-GB"/>
        </w:rPr>
        <w:t xml:space="preserve">Reasons: </w:t>
      </w:r>
      <w:r w:rsidRPr="002D5B5E">
        <w:rPr>
          <w:sz w:val="24"/>
          <w:szCs w:val="24"/>
          <w:lang w:val="en-GB"/>
        </w:rPr>
        <w:t xml:space="preserve"> These bands can play an important role in </w:t>
      </w:r>
      <w:r>
        <w:rPr>
          <w:sz w:val="24"/>
          <w:szCs w:val="24"/>
          <w:lang w:val="en-GB"/>
        </w:rPr>
        <w:t>IMT-2020</w:t>
      </w:r>
      <w:r w:rsidRPr="002D5B5E">
        <w:rPr>
          <w:sz w:val="24"/>
          <w:szCs w:val="24"/>
          <w:lang w:val="en-GB"/>
        </w:rPr>
        <w:t xml:space="preserve"> development by facilitating backhaul and other fixed uses.  Therefore, no change is proposed.  </w:t>
      </w:r>
    </w:p>
    <w:p w:rsidR="002D5B5E" w:rsidRPr="002D5B5E" w:rsidRDefault="002D5B5E" w:rsidP="002D5B5E">
      <w:pPr>
        <w:keepNext/>
        <w:tabs>
          <w:tab w:val="left" w:pos="1134"/>
          <w:tab w:val="left" w:pos="1871"/>
          <w:tab w:val="left" w:pos="2268"/>
        </w:tabs>
        <w:overflowPunct w:val="0"/>
        <w:autoSpaceDE w:val="0"/>
        <w:autoSpaceDN w:val="0"/>
        <w:adjustRightInd w:val="0"/>
        <w:spacing w:before="240"/>
        <w:textAlignment w:val="baseline"/>
        <w:rPr>
          <w:b/>
          <w:sz w:val="24"/>
          <w:lang w:val="en-GB"/>
        </w:rPr>
      </w:pPr>
      <w:r w:rsidRPr="002D5B5E">
        <w:rPr>
          <w:b/>
          <w:sz w:val="24"/>
          <w:u w:val="single"/>
          <w:lang w:val="en-GB"/>
        </w:rPr>
        <w:t>NOC</w:t>
      </w:r>
      <w:r w:rsidRPr="002D5B5E">
        <w:rPr>
          <w:b/>
          <w:sz w:val="24"/>
          <w:lang w:val="en-GB"/>
        </w:rPr>
        <w:tab/>
        <w:t>USA/1.13/2</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2D5B5E" w:rsidRPr="002D5B5E" w:rsidTr="00927610">
        <w:trPr>
          <w:cantSplit/>
          <w:jc w:val="center"/>
        </w:trPr>
        <w:tc>
          <w:tcPr>
            <w:tcW w:w="9304" w:type="dxa"/>
            <w:gridSpan w:val="3"/>
            <w:tcBorders>
              <w:top w:val="nil"/>
              <w:left w:val="nil"/>
              <w:bottom w:val="single" w:sz="4" w:space="0" w:color="auto"/>
              <w:right w:val="nil"/>
            </w:tcBorders>
          </w:tcPr>
          <w:p w:rsidR="002D5B5E" w:rsidRPr="002D5B5E" w:rsidRDefault="002D5B5E" w:rsidP="002D5B5E">
            <w:pPr>
              <w:keepNext/>
              <w:overflowPunct w:val="0"/>
              <w:autoSpaceDE w:val="0"/>
              <w:autoSpaceDN w:val="0"/>
              <w:adjustRightInd w:val="0"/>
              <w:spacing w:after="120"/>
              <w:jc w:val="center"/>
              <w:textAlignment w:val="baseline"/>
              <w:rPr>
                <w:b/>
                <w:sz w:val="24"/>
                <w:szCs w:val="24"/>
                <w:lang w:val="fr-FR"/>
              </w:rPr>
            </w:pPr>
            <w:r w:rsidRPr="002D5B5E">
              <w:rPr>
                <w:b/>
                <w:sz w:val="24"/>
                <w:szCs w:val="24"/>
                <w:lang w:val="fr-FR"/>
              </w:rPr>
              <w:t>81-86 GHz</w:t>
            </w:r>
          </w:p>
        </w:tc>
      </w:tr>
      <w:tr w:rsidR="002D5B5E" w:rsidRPr="002D5B5E" w:rsidTr="0092761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Allocation to services</w:t>
            </w:r>
          </w:p>
        </w:tc>
      </w:tr>
      <w:tr w:rsidR="002D5B5E" w:rsidRPr="002D5B5E" w:rsidTr="00927610">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Region 1</w:t>
            </w:r>
          </w:p>
        </w:tc>
        <w:tc>
          <w:tcPr>
            <w:tcW w:w="3100" w:type="dxa"/>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Region 2</w:t>
            </w:r>
          </w:p>
        </w:tc>
        <w:tc>
          <w:tcPr>
            <w:tcW w:w="3105" w:type="dxa"/>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overflowPunct w:val="0"/>
              <w:autoSpaceDE w:val="0"/>
              <w:autoSpaceDN w:val="0"/>
              <w:adjustRightInd w:val="0"/>
              <w:spacing w:before="80" w:after="80"/>
              <w:jc w:val="center"/>
              <w:textAlignment w:val="baseline"/>
              <w:rPr>
                <w:b/>
                <w:lang w:val="fr-FR"/>
              </w:rPr>
            </w:pPr>
            <w:r w:rsidRPr="002D5B5E">
              <w:rPr>
                <w:b/>
                <w:lang w:val="fr-FR"/>
              </w:rPr>
              <w:t>Region 3</w:t>
            </w:r>
          </w:p>
        </w:tc>
      </w:tr>
      <w:tr w:rsidR="002D5B5E" w:rsidRPr="002D5B5E" w:rsidTr="0092761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b/>
                <w:color w:val="000000"/>
                <w:lang w:val="fr-FR"/>
              </w:rPr>
              <w:t>81-84</w:t>
            </w:r>
            <w:r w:rsidRPr="002D5B5E">
              <w:rPr>
                <w:color w:val="000000"/>
                <w:lang w:val="fr-FR"/>
              </w:rPr>
              <w:tab/>
            </w:r>
            <w:r w:rsidRPr="002D5B5E">
              <w:rPr>
                <w:color w:val="000000"/>
                <w:lang w:val="fr-FR"/>
              </w:rPr>
              <w:tab/>
            </w:r>
            <w:r w:rsidRPr="002D5B5E">
              <w:rPr>
                <w:color w:val="000000"/>
                <w:lang w:val="fr-FR"/>
              </w:rPr>
              <w:tab/>
              <w:t>FIXED  5.338A</w:t>
            </w:r>
          </w:p>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FIXED-SATELLITE (Earth-to-space)</w:t>
            </w:r>
          </w:p>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MOBILE</w:t>
            </w:r>
          </w:p>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MOBILE-SATELLITE (Earth-to-space)</w:t>
            </w:r>
          </w:p>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RADIO ASTRONOMY</w:t>
            </w:r>
          </w:p>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 xml:space="preserve">Space research (space-to-Earth) </w:t>
            </w:r>
          </w:p>
          <w:p w:rsidR="002D5B5E" w:rsidRPr="002D5B5E" w:rsidRDefault="002D5B5E" w:rsidP="002D5B5E">
            <w:pPr>
              <w:keepNext/>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5.149  5.561A</w:t>
            </w:r>
          </w:p>
        </w:tc>
      </w:tr>
      <w:tr w:rsidR="002D5B5E" w:rsidRPr="002D5B5E" w:rsidTr="0092761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b/>
                <w:color w:val="000000"/>
                <w:lang w:val="fr-FR"/>
              </w:rPr>
              <w:t>84-86</w:t>
            </w:r>
            <w:r w:rsidRPr="002D5B5E">
              <w:rPr>
                <w:color w:val="000000"/>
                <w:lang w:val="fr-FR"/>
              </w:rPr>
              <w:tab/>
            </w:r>
            <w:r w:rsidRPr="002D5B5E">
              <w:rPr>
                <w:color w:val="000000"/>
                <w:lang w:val="fr-FR"/>
              </w:rPr>
              <w:tab/>
            </w:r>
            <w:r w:rsidRPr="002D5B5E">
              <w:rPr>
                <w:color w:val="000000"/>
                <w:lang w:val="fr-FR"/>
              </w:rPr>
              <w:tab/>
              <w:t>FIXED  5.338A</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FIXED-SATELLITE (Earth-to-space)  5.561B</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MOBILE</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RADIO ASTRONOMY</w:t>
            </w:r>
          </w:p>
          <w:p w:rsidR="002D5B5E" w:rsidRPr="002D5B5E" w:rsidRDefault="002D5B5E" w:rsidP="002D5B5E">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fr-FR"/>
              </w:rPr>
            </w:pPr>
            <w:r w:rsidRPr="002D5B5E">
              <w:rPr>
                <w:color w:val="000000"/>
                <w:lang w:val="fr-FR"/>
              </w:rPr>
              <w:tab/>
            </w:r>
            <w:r w:rsidRPr="002D5B5E">
              <w:rPr>
                <w:color w:val="000000"/>
                <w:lang w:val="fr-FR"/>
              </w:rPr>
              <w:tab/>
            </w:r>
            <w:r w:rsidRPr="002D5B5E">
              <w:rPr>
                <w:color w:val="000000"/>
                <w:lang w:val="fr-FR"/>
              </w:rPr>
              <w:tab/>
            </w:r>
            <w:r w:rsidRPr="002D5B5E">
              <w:rPr>
                <w:color w:val="000000"/>
                <w:lang w:val="fr-FR"/>
              </w:rPr>
              <w:tab/>
              <w:t>5.149</w:t>
            </w:r>
          </w:p>
        </w:tc>
      </w:tr>
    </w:tbl>
    <w:p w:rsidR="002D5B5E" w:rsidRPr="002D5B5E" w:rsidRDefault="002D5B5E" w:rsidP="002D5B5E">
      <w:pPr>
        <w:rPr>
          <w:sz w:val="24"/>
          <w:szCs w:val="24"/>
          <w:lang w:val="en-GB"/>
        </w:rPr>
      </w:pPr>
      <w:r w:rsidRPr="002D5B5E">
        <w:rPr>
          <w:b/>
          <w:sz w:val="24"/>
          <w:szCs w:val="24"/>
          <w:lang w:val="en-GB"/>
        </w:rPr>
        <w:lastRenderedPageBreak/>
        <w:t xml:space="preserve">Reasons: </w:t>
      </w:r>
      <w:r w:rsidRPr="002D5B5E">
        <w:rPr>
          <w:sz w:val="24"/>
          <w:szCs w:val="24"/>
          <w:lang w:val="en-GB"/>
        </w:rPr>
        <w:t xml:space="preserve"> </w:t>
      </w:r>
    </w:p>
    <w:p w:rsidR="002D5B5E" w:rsidRPr="002D5B5E" w:rsidRDefault="002D5B5E" w:rsidP="002D5B5E">
      <w:pPr>
        <w:rPr>
          <w:sz w:val="24"/>
          <w:szCs w:val="24"/>
          <w:lang w:val="en-GB"/>
        </w:rPr>
      </w:pPr>
      <w:r w:rsidRPr="002D5B5E">
        <w:rPr>
          <w:sz w:val="24"/>
          <w:szCs w:val="24"/>
          <w:lang w:val="en-GB"/>
        </w:rPr>
        <w:t xml:space="preserve">These bands can play an important role in </w:t>
      </w:r>
      <w:r>
        <w:rPr>
          <w:sz w:val="24"/>
          <w:szCs w:val="24"/>
          <w:lang w:val="en-GB"/>
        </w:rPr>
        <w:t>IMT-2020</w:t>
      </w:r>
      <w:r w:rsidRPr="002D5B5E">
        <w:rPr>
          <w:sz w:val="24"/>
          <w:szCs w:val="24"/>
          <w:lang w:val="en-GB"/>
        </w:rPr>
        <w:t xml:space="preserve"> development by facilitating backhaul and other fixed uses.  Therefore, no change is proposed.  </w:t>
      </w:r>
    </w:p>
    <w:p w:rsidR="002D5B5E" w:rsidRDefault="002D5B5E" w:rsidP="002D5B5E">
      <w:pPr>
        <w:spacing w:after="120"/>
        <w:ind w:left="-360"/>
      </w:pPr>
    </w:p>
    <w:p w:rsidR="003902FE" w:rsidRDefault="003902FE" w:rsidP="003902FE">
      <w:pPr>
        <w:spacing w:after="120"/>
        <w:ind w:left="-360"/>
        <w:jc w:val="center"/>
      </w:pPr>
      <w:r>
        <w:t>____________________</w:t>
      </w:r>
    </w:p>
    <w:p w:rsidR="003902FE" w:rsidRDefault="003902FE" w:rsidP="003902FE">
      <w:pPr>
        <w:pStyle w:val="Reasons"/>
        <w:tabs>
          <w:tab w:val="clear" w:pos="1588"/>
          <w:tab w:val="clear" w:pos="1985"/>
          <w:tab w:val="left" w:pos="1871"/>
          <w:tab w:val="left" w:pos="2268"/>
        </w:tabs>
      </w:pPr>
    </w:p>
    <w:p w:rsidR="003902FE" w:rsidRPr="003902FE" w:rsidRDefault="003902FE" w:rsidP="003902FE">
      <w:pPr>
        <w:rPr>
          <w:sz w:val="24"/>
        </w:rPr>
      </w:pPr>
    </w:p>
    <w:sectPr w:rsidR="003902FE" w:rsidRPr="003902FE" w:rsidSect="00E82AC2">
      <w:headerReference w:type="default" r:id="rId12"/>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67" w:rsidRDefault="00E50367">
      <w:r>
        <w:separator/>
      </w:r>
    </w:p>
  </w:endnote>
  <w:endnote w:type="continuationSeparator" w:id="0">
    <w:p w:rsidR="00E50367" w:rsidRDefault="00E5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D4C">
      <w:rPr>
        <w:rStyle w:val="PageNumber"/>
        <w:noProof/>
      </w:rPr>
      <w:t>2</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3902FE">
      <w:rPr>
        <w:noProof/>
        <w:snapToGrid w:val="0"/>
      </w:rPr>
      <w:t>Document1</w:t>
    </w:r>
    <w:r>
      <w:rPr>
        <w:snapToGrid w:val="0"/>
      </w:rPr>
      <w:fldChar w:fldCharType="end"/>
    </w:r>
    <w:r>
      <w:tab/>
    </w:r>
    <w:r>
      <w:fldChar w:fldCharType="begin"/>
    </w:r>
    <w:r>
      <w:instrText xml:space="preserve"> savedate \@ dd.MM.yy </w:instrText>
    </w:r>
    <w:r>
      <w:fldChar w:fldCharType="separate"/>
    </w:r>
    <w:r w:rsidR="007A6D4C">
      <w:rPr>
        <w:noProof/>
      </w:rPr>
      <w:t>18.03.19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67" w:rsidRDefault="00E50367">
      <w:r>
        <w:separator/>
      </w:r>
    </w:p>
  </w:footnote>
  <w:footnote w:type="continuationSeparator" w:id="0">
    <w:p w:rsidR="00E50367" w:rsidRDefault="00E50367">
      <w:r>
        <w:continuationSeparator/>
      </w:r>
    </w:p>
  </w:footnote>
  <w:footnote w:id="1">
    <w:p w:rsidR="002D5B5E" w:rsidRPr="00DE57FD" w:rsidRDefault="002D5B5E" w:rsidP="002D5B5E">
      <w:pPr>
        <w:pStyle w:val="FootnoteText"/>
        <w:rPr>
          <w:szCs w:val="24"/>
        </w:rPr>
      </w:pPr>
      <w:r w:rsidRPr="00DE57FD">
        <w:rPr>
          <w:rStyle w:val="FootnoteReference"/>
          <w:szCs w:val="24"/>
        </w:rPr>
        <w:footnoteRef/>
      </w:r>
      <w:r w:rsidRPr="00DE57FD">
        <w:rPr>
          <w:szCs w:val="24"/>
        </w:rPr>
        <w:t xml:space="preserve"> ICT Facts and Figures 2017, p 4 and 5. See: https://www.itu.int/en/ITU-D/Statistics/Documents/facts/ICTFactsFigures2017.pdf</w:t>
      </w:r>
    </w:p>
  </w:footnote>
  <w:footnote w:id="2">
    <w:p w:rsidR="002D5B5E" w:rsidRDefault="002D5B5E">
      <w:pPr>
        <w:pStyle w:val="FootnoteText"/>
      </w:pPr>
      <w:r>
        <w:rPr>
          <w:rStyle w:val="FootnoteReference"/>
        </w:rPr>
        <w:footnoteRef/>
      </w:r>
      <w:r>
        <w:t xml:space="preserve"> </w:t>
      </w:r>
      <w:hyperlink r:id="rId1" w:history="1">
        <w:r w:rsidRPr="00F33B3E">
          <w:rPr>
            <w:rStyle w:val="Hyperlink"/>
          </w:rPr>
          <w:t>https://docs.fcc.gov/public/attachments/FCC-17-152A1.pdf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s-UY" w:vendorID="64" w:dllVersion="0" w:nlCheck="1" w:checkStyle="0"/>
  <w:activeWritingStyle w:appName="MSWord" w:lang="es-ES" w:vendorID="64" w:dllVersion="0" w:nlCheck="1" w:checkStyle="0"/>
  <w:activeWritingStyle w:appName="MSWord" w:lang="fr-CA"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FE"/>
    <w:rsid w:val="00046DAE"/>
    <w:rsid w:val="00083B77"/>
    <w:rsid w:val="000B7255"/>
    <w:rsid w:val="000B7E78"/>
    <w:rsid w:val="000D4C1A"/>
    <w:rsid w:val="000E33A5"/>
    <w:rsid w:val="00106646"/>
    <w:rsid w:val="00130557"/>
    <w:rsid w:val="001D1909"/>
    <w:rsid w:val="002178DF"/>
    <w:rsid w:val="00217EFA"/>
    <w:rsid w:val="00220543"/>
    <w:rsid w:val="002A4514"/>
    <w:rsid w:val="002C569B"/>
    <w:rsid w:val="002D5B5E"/>
    <w:rsid w:val="00313C59"/>
    <w:rsid w:val="003355CC"/>
    <w:rsid w:val="00344FDD"/>
    <w:rsid w:val="00364023"/>
    <w:rsid w:val="003701A5"/>
    <w:rsid w:val="00370D0B"/>
    <w:rsid w:val="003902FE"/>
    <w:rsid w:val="003A6B15"/>
    <w:rsid w:val="003B5116"/>
    <w:rsid w:val="003E339E"/>
    <w:rsid w:val="003E7951"/>
    <w:rsid w:val="003F5838"/>
    <w:rsid w:val="004347FF"/>
    <w:rsid w:val="004937BF"/>
    <w:rsid w:val="004B39D5"/>
    <w:rsid w:val="004F4CB4"/>
    <w:rsid w:val="00506DB8"/>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26BFE"/>
    <w:rsid w:val="007308E1"/>
    <w:rsid w:val="00744A51"/>
    <w:rsid w:val="007515DA"/>
    <w:rsid w:val="00770DF8"/>
    <w:rsid w:val="007A6D4C"/>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BE041C"/>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50367"/>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17CDAD8C"/>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uiPriority w:val="99"/>
    <w:unhideWhenUsed/>
    <w:rsid w:val="002D5B5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D5B5E"/>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unhideWhenUsed/>
    <w:qFormat/>
    <w:rsid w:val="002D5B5E"/>
    <w:rPr>
      <w:vertAlign w:val="superscript"/>
    </w:rPr>
  </w:style>
  <w:style w:type="character" w:styleId="CommentReference">
    <w:name w:val="annotation reference"/>
    <w:rsid w:val="002D5B5E"/>
    <w:rPr>
      <w:sz w:val="16"/>
      <w:szCs w:val="16"/>
    </w:rPr>
  </w:style>
  <w:style w:type="paragraph" w:styleId="CommentText">
    <w:name w:val="annotation text"/>
    <w:basedOn w:val="Normal"/>
    <w:link w:val="CommentTextChar"/>
    <w:rsid w:val="002D5B5E"/>
  </w:style>
  <w:style w:type="character" w:customStyle="1" w:styleId="CommentTextChar">
    <w:name w:val="Comment Text Char"/>
    <w:basedOn w:val="DefaultParagraphFont"/>
    <w:link w:val="CommentText"/>
    <w:rsid w:val="002D5B5E"/>
  </w:style>
  <w:style w:type="character" w:customStyle="1" w:styleId="UnresolvedMention">
    <w:name w:val="Unresolved Mention"/>
    <w:basedOn w:val="DefaultParagraphFont"/>
    <w:uiPriority w:val="99"/>
    <w:semiHidden/>
    <w:unhideWhenUsed/>
    <w:rsid w:val="002D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7-152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D1F7-58E0-48D9-97D4-085AA43C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CCPII-2018-31-Templates_i.dot</Template>
  <TotalTime>1</TotalTime>
  <Pages>4</Pages>
  <Words>614</Words>
  <Characters>3755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4361</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Notes</cp:lastModifiedBy>
  <cp:revision>2</cp:revision>
  <cp:lastPrinted>1999-10-11T18:56:00Z</cp:lastPrinted>
  <dcterms:created xsi:type="dcterms:W3CDTF">2019-03-18T18:51:00Z</dcterms:created>
  <dcterms:modified xsi:type="dcterms:W3CDTF">2019-03-18T18:51:00Z</dcterms:modified>
</cp:coreProperties>
</file>