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3BA24" w14:textId="23D1323B" w:rsidR="00B865B2" w:rsidRDefault="00646976" w:rsidP="00013E34">
      <w:pPr>
        <w:pStyle w:val="DACTitle"/>
        <w:rPr>
          <w:rFonts w:eastAsia="Georgia" w:cs="Georgia"/>
        </w:rPr>
      </w:pPr>
      <w:bookmarkStart w:id="0" w:name="_GoBack"/>
      <w:bookmarkEnd w:id="0"/>
      <w:r>
        <w:t>Recommendation of the</w:t>
      </w:r>
      <w:r w:rsidR="00317EBF">
        <w:br/>
      </w:r>
      <w:r w:rsidR="00B55B3C">
        <w:t xml:space="preserve">Federal Communications Commission </w:t>
      </w:r>
      <w:r>
        <w:t>Disability Advisory Committee</w:t>
      </w:r>
      <w:r w:rsidR="00AC2091">
        <w:br/>
      </w:r>
      <w:r w:rsidR="00C97EA7" w:rsidRPr="00C97EA7">
        <w:t>Internet Protocol Captioned Telephone Service</w:t>
      </w:r>
      <w:r w:rsidR="00317EBF">
        <w:br/>
      </w:r>
      <w:r w:rsidR="00C97EA7" w:rsidRPr="00C97EA7">
        <w:t>User Registration Database Working Group</w:t>
      </w:r>
    </w:p>
    <w:p w14:paraId="0C516874" w14:textId="15F58A77" w:rsidR="007A24F7" w:rsidRDefault="00646976" w:rsidP="00013E34">
      <w:pPr>
        <w:pStyle w:val="DACTitle"/>
        <w:rPr>
          <w:rFonts w:eastAsia="Georgia" w:cs="Georgia"/>
        </w:rPr>
      </w:pPr>
      <w:r>
        <w:t>Adopted</w:t>
      </w:r>
      <w:r w:rsidR="00824DFC">
        <w:t>:</w:t>
      </w:r>
      <w:r>
        <w:t xml:space="preserve"> </w:t>
      </w:r>
      <w:r w:rsidR="00694F30">
        <w:t>February 26, 2020</w:t>
      </w:r>
    </w:p>
    <w:p w14:paraId="167FE82B" w14:textId="7D44BE7F" w:rsidR="00AC2091" w:rsidRDefault="00317EBF" w:rsidP="007A24F7">
      <w:pPr>
        <w:pStyle w:val="DACTitle"/>
      </w:pPr>
      <w:bookmarkStart w:id="1" w:name="OLE_LINK44"/>
      <w:bookmarkStart w:id="2" w:name="OLE_LINK45"/>
      <w:r>
        <w:t>Objective</w:t>
      </w:r>
    </w:p>
    <w:bookmarkEnd w:id="1"/>
    <w:bookmarkEnd w:id="2"/>
    <w:p w14:paraId="68BD388E" w14:textId="77777777" w:rsidR="007A24F7" w:rsidRDefault="00C97EA7" w:rsidP="007A24F7">
      <w:pPr>
        <w:pStyle w:val="DACParagraph"/>
      </w:pPr>
      <w:r w:rsidRPr="00C97EA7">
        <w:t>Develop recommendations and best practices for the registration of Internet Protocol Captioned Telephone Service users in the Telecommunications Relay Service</w:t>
      </w:r>
      <w:r w:rsidR="00091111">
        <w:t>s</w:t>
      </w:r>
      <w:r w:rsidRPr="00C97EA7">
        <w:t xml:space="preserve"> User Registration Database.</w:t>
      </w:r>
    </w:p>
    <w:p w14:paraId="7D571A4A" w14:textId="3E2F94C6" w:rsidR="00B865B2" w:rsidRPr="007A24F7" w:rsidRDefault="00646976" w:rsidP="007A24F7">
      <w:pPr>
        <w:pStyle w:val="DACParagraph"/>
        <w:jc w:val="center"/>
        <w:rPr>
          <w:rFonts w:eastAsia="Georgia" w:cs="Georgia"/>
          <w:b/>
        </w:rPr>
      </w:pPr>
      <w:r w:rsidRPr="007A24F7">
        <w:rPr>
          <w:b/>
        </w:rPr>
        <w:t>Introduction</w:t>
      </w:r>
      <w:r w:rsidR="00317EBF" w:rsidRPr="007A24F7">
        <w:rPr>
          <w:b/>
        </w:rPr>
        <w:t xml:space="preserve"> and Background</w:t>
      </w:r>
    </w:p>
    <w:p w14:paraId="34F93667" w14:textId="0EC0EFD5" w:rsidR="00B865B2" w:rsidRDefault="00C97EA7" w:rsidP="0094515A">
      <w:pPr>
        <w:pStyle w:val="DACParagraph"/>
      </w:pPr>
      <w:r>
        <w:t xml:space="preserve">These recommendations are intended to </w:t>
      </w:r>
      <w:r w:rsidR="0094515A">
        <w:t xml:space="preserve">provide guidance to </w:t>
      </w:r>
      <w:r>
        <w:t xml:space="preserve">the Commission </w:t>
      </w:r>
      <w:r w:rsidR="0094515A">
        <w:t>on</w:t>
      </w:r>
      <w:r>
        <w:t xml:space="preserve"> </w:t>
      </w:r>
      <w:r w:rsidR="0094515A">
        <w:t xml:space="preserve">the implementation of the </w:t>
      </w:r>
      <w:r>
        <w:t xml:space="preserve">provisions </w:t>
      </w:r>
      <w:r w:rsidR="0094515A">
        <w:t xml:space="preserve">of its February 2019 Report and Order expanding the </w:t>
      </w:r>
      <w:r w:rsidR="0023089B">
        <w:t>User Registration Database (</w:t>
      </w:r>
      <w:r w:rsidR="0094515A">
        <w:t>URD</w:t>
      </w:r>
      <w:r w:rsidR="0023089B">
        <w:t>)</w:t>
      </w:r>
      <w:r w:rsidR="0094515A">
        <w:t xml:space="preserve"> created for </w:t>
      </w:r>
      <w:r w:rsidR="00317EBF">
        <w:t>V</w:t>
      </w:r>
      <w:r w:rsidR="0094515A">
        <w:t xml:space="preserve">ideo </w:t>
      </w:r>
      <w:r w:rsidR="00317EBF">
        <w:t>R</w:t>
      </w:r>
      <w:r w:rsidR="0094515A">
        <w:t xml:space="preserve">elay </w:t>
      </w:r>
      <w:r w:rsidR="00317EBF">
        <w:t>S</w:t>
      </w:r>
      <w:r w:rsidR="0094515A">
        <w:t>ervice (VRS) to include users of Internet Protocol Captioned Telephone Service (IP CTS).</w:t>
      </w:r>
      <w:r w:rsidR="0094515A">
        <w:rPr>
          <w:rStyle w:val="FootnoteReference"/>
        </w:rPr>
        <w:footnoteReference w:id="2"/>
      </w:r>
      <w:r w:rsidR="0094515A">
        <w:t xml:space="preserve"> Informed by a series of briefings from consumer organizations,</w:t>
      </w:r>
      <w:r w:rsidR="00C13731">
        <w:t xml:space="preserve"> </w:t>
      </w:r>
      <w:r w:rsidR="00317EBF">
        <w:t>Telecommunications Relay Service</w:t>
      </w:r>
      <w:r w:rsidR="00091111">
        <w:t>s (TRS)</w:t>
      </w:r>
      <w:r w:rsidR="00317EBF">
        <w:t xml:space="preserve"> </w:t>
      </w:r>
      <w:r w:rsidR="007A749D">
        <w:t>Providers</w:t>
      </w:r>
      <w:r w:rsidR="00C13731">
        <w:t xml:space="preserve">, and </w:t>
      </w:r>
      <w:proofErr w:type="spellStart"/>
      <w:r w:rsidR="00C13731">
        <w:t>Rolka</w:t>
      </w:r>
      <w:proofErr w:type="spellEnd"/>
      <w:r w:rsidR="00C13731">
        <w:t xml:space="preserve"> </w:t>
      </w:r>
      <w:proofErr w:type="spellStart"/>
      <w:r w:rsidR="00C13731">
        <w:t>Loube</w:t>
      </w:r>
      <w:proofErr w:type="spellEnd"/>
      <w:r w:rsidR="00C13731">
        <w:t xml:space="preserve"> (the Commission’s third-party contractor </w:t>
      </w:r>
      <w:r w:rsidR="00777F96">
        <w:t>who is currently the TRS-URD Administrator</w:t>
      </w:r>
      <w:r w:rsidR="00777F96" w:rsidRPr="00777F96">
        <w:t>)</w:t>
      </w:r>
      <w:r w:rsidR="00C13731">
        <w:t xml:space="preserve">, the Working Group identified three critical </w:t>
      </w:r>
      <w:r w:rsidR="003662F8">
        <w:t>issues</w:t>
      </w:r>
      <w:r w:rsidR="00C13731">
        <w:t xml:space="preserve"> to address in </w:t>
      </w:r>
      <w:r w:rsidR="003662F8">
        <w:t xml:space="preserve">implementing the </w:t>
      </w:r>
      <w:r w:rsidR="00C13731">
        <w:t>expan</w:t>
      </w:r>
      <w:r w:rsidR="003662F8">
        <w:t>sion of</w:t>
      </w:r>
      <w:r w:rsidR="00C13731">
        <w:t xml:space="preserve"> the URD to IP CTS:</w:t>
      </w:r>
    </w:p>
    <w:p w14:paraId="57A8DE7D" w14:textId="00C8EA4A" w:rsidR="00B865B2" w:rsidRPr="00C13731" w:rsidRDefault="003662F8" w:rsidP="008019D9">
      <w:pPr>
        <w:pStyle w:val="DACParagraph"/>
        <w:numPr>
          <w:ilvl w:val="0"/>
          <w:numId w:val="23"/>
        </w:numPr>
        <w:rPr>
          <w:b/>
          <w:bCs w:val="0"/>
        </w:rPr>
      </w:pPr>
      <w:r>
        <w:rPr>
          <w:b/>
          <w:bCs w:val="0"/>
        </w:rPr>
        <w:t xml:space="preserve">Logistical </w:t>
      </w:r>
      <w:r w:rsidR="00C13731">
        <w:rPr>
          <w:b/>
          <w:bCs w:val="0"/>
        </w:rPr>
        <w:t>Burdens.</w:t>
      </w:r>
      <w:r w:rsidR="00C13731">
        <w:t xml:space="preserve"> The registration process </w:t>
      </w:r>
      <w:r>
        <w:t xml:space="preserve">raises the prospect of </w:t>
      </w:r>
      <w:r w:rsidR="00C13731">
        <w:t xml:space="preserve">unnecessary delays, paperwork, </w:t>
      </w:r>
      <w:r>
        <w:t xml:space="preserve">and </w:t>
      </w:r>
      <w:r w:rsidR="00C13731">
        <w:t xml:space="preserve">other roadblocks that could deter legitimate IP CTS users from </w:t>
      </w:r>
      <w:r w:rsidR="00713610">
        <w:t>completing registration</w:t>
      </w:r>
      <w:r w:rsidR="00C13731">
        <w:t xml:space="preserve"> for service </w:t>
      </w:r>
      <w:r w:rsidR="00926D94">
        <w:t xml:space="preserve">they need </w:t>
      </w:r>
      <w:r w:rsidR="00713610">
        <w:t xml:space="preserve">by imposing </w:t>
      </w:r>
      <w:r w:rsidR="00C13731">
        <w:t xml:space="preserve">unreasonable burdens on </w:t>
      </w:r>
      <w:r w:rsidR="007A749D">
        <w:t>Providers</w:t>
      </w:r>
      <w:r w:rsidR="00C13731">
        <w:t xml:space="preserve"> </w:t>
      </w:r>
      <w:r w:rsidR="00713610">
        <w:t>and consumers</w:t>
      </w:r>
      <w:r w:rsidR="00C13731">
        <w:t>.</w:t>
      </w:r>
    </w:p>
    <w:p w14:paraId="046C4FC9" w14:textId="05957C12" w:rsidR="00B865B2" w:rsidRPr="00C13731" w:rsidRDefault="00C13731" w:rsidP="008019D9">
      <w:pPr>
        <w:pStyle w:val="DACParagraph"/>
        <w:numPr>
          <w:ilvl w:val="0"/>
          <w:numId w:val="23"/>
        </w:numPr>
        <w:rPr>
          <w:b/>
          <w:bCs w:val="0"/>
        </w:rPr>
      </w:pPr>
      <w:bookmarkStart w:id="3" w:name="OLE_LINK23"/>
      <w:bookmarkStart w:id="4" w:name="OLE_LINK24"/>
      <w:r w:rsidRPr="00C13731">
        <w:rPr>
          <w:b/>
          <w:bCs w:val="0"/>
        </w:rPr>
        <w:t xml:space="preserve">Consumer Privacy. </w:t>
      </w:r>
      <w:bookmarkEnd w:id="3"/>
      <w:bookmarkEnd w:id="4"/>
      <w:r>
        <w:t xml:space="preserve">The registration process </w:t>
      </w:r>
      <w:r w:rsidR="003662F8">
        <w:t xml:space="preserve">raises risks to the </w:t>
      </w:r>
      <w:r>
        <w:t xml:space="preserve">privacy of consumers </w:t>
      </w:r>
      <w:r w:rsidR="003662F8">
        <w:t xml:space="preserve">through the </w:t>
      </w:r>
      <w:r>
        <w:t xml:space="preserve">collection, use, retention, and sharing </w:t>
      </w:r>
      <w:r w:rsidR="003662F8">
        <w:t>of personal</w:t>
      </w:r>
      <w:r w:rsidR="000B6563">
        <w:t>ly</w:t>
      </w:r>
      <w:r w:rsidR="003662F8">
        <w:t xml:space="preserve"> </w:t>
      </w:r>
      <w:r w:rsidR="00EB1B06">
        <w:t xml:space="preserve">identifying </w:t>
      </w:r>
      <w:r w:rsidR="003662F8">
        <w:t>information.</w:t>
      </w:r>
    </w:p>
    <w:p w14:paraId="32AAA82B" w14:textId="3667C058" w:rsidR="00697936" w:rsidRPr="003662F8" w:rsidRDefault="00C13731" w:rsidP="00013E34">
      <w:pPr>
        <w:pStyle w:val="DACParagraph"/>
        <w:numPr>
          <w:ilvl w:val="0"/>
          <w:numId w:val="23"/>
        </w:numPr>
        <w:rPr>
          <w:rFonts w:eastAsia="Georgia" w:cs="Georgia"/>
          <w:b/>
          <w:bCs w:val="0"/>
        </w:rPr>
      </w:pPr>
      <w:bookmarkStart w:id="5" w:name="OLE_LINK14"/>
      <w:bookmarkStart w:id="6" w:name="OLE_LINK15"/>
      <w:r>
        <w:rPr>
          <w:b/>
          <w:bCs w:val="0"/>
        </w:rPr>
        <w:t xml:space="preserve">Registration-Related </w:t>
      </w:r>
      <w:r w:rsidRPr="00C13731">
        <w:rPr>
          <w:b/>
          <w:bCs w:val="0"/>
        </w:rPr>
        <w:t>Costs</w:t>
      </w:r>
      <w:r w:rsidR="00646976" w:rsidRPr="00C13731">
        <w:rPr>
          <w:b/>
          <w:bCs w:val="0"/>
        </w:rPr>
        <w:t>.</w:t>
      </w:r>
      <w:r w:rsidR="003662F8">
        <w:rPr>
          <w:b/>
          <w:bCs w:val="0"/>
        </w:rPr>
        <w:t xml:space="preserve"> </w:t>
      </w:r>
      <w:r w:rsidR="003662F8">
        <w:t xml:space="preserve">The registration process requires </w:t>
      </w:r>
      <w:r w:rsidR="007A749D">
        <w:t>Providers</w:t>
      </w:r>
      <w:r w:rsidR="003662F8">
        <w:t xml:space="preserve"> to engage in more direct interactions with users, raising the prospect of higher costs for each user registration.</w:t>
      </w:r>
    </w:p>
    <w:bookmarkEnd w:id="5"/>
    <w:bookmarkEnd w:id="6"/>
    <w:p w14:paraId="39736E3C" w14:textId="61CD10BF" w:rsidR="00172DCB" w:rsidRDefault="003662F8" w:rsidP="00F3061A">
      <w:pPr>
        <w:pStyle w:val="DACParagraph"/>
        <w:rPr>
          <w:rFonts w:eastAsia="Georgia" w:cs="Georgia"/>
        </w:rPr>
      </w:pPr>
      <w:r>
        <w:rPr>
          <w:rFonts w:eastAsia="Georgia" w:cs="Georgia"/>
        </w:rPr>
        <w:t xml:space="preserve">The Working Group collected substantial information from subject-matter experts about </w:t>
      </w:r>
      <w:r w:rsidR="000029AE">
        <w:rPr>
          <w:rFonts w:eastAsia="Georgia" w:cs="Georgia"/>
        </w:rPr>
        <w:t>how</w:t>
      </w:r>
      <w:r>
        <w:rPr>
          <w:rFonts w:eastAsia="Georgia" w:cs="Georgia"/>
        </w:rPr>
        <w:t xml:space="preserve"> these issues have arisen in the implementation of the </w:t>
      </w:r>
      <w:r w:rsidR="000C57E5">
        <w:rPr>
          <w:rFonts w:eastAsia="Georgia" w:cs="Georgia"/>
        </w:rPr>
        <w:t>TRS-</w:t>
      </w:r>
      <w:r>
        <w:rPr>
          <w:rFonts w:eastAsia="Georgia" w:cs="Georgia"/>
        </w:rPr>
        <w:t>URD for VRS</w:t>
      </w:r>
      <w:r w:rsidR="00172DCB">
        <w:rPr>
          <w:rFonts w:eastAsia="Georgia" w:cs="Georgia"/>
        </w:rPr>
        <w:t xml:space="preserve"> and how lessons learned in the VRS context can be applied to the IP CTS </w:t>
      </w:r>
      <w:r w:rsidR="000C57E5">
        <w:rPr>
          <w:rFonts w:eastAsia="Georgia" w:cs="Georgia"/>
        </w:rPr>
        <w:t>TRS-</w:t>
      </w:r>
      <w:r w:rsidR="00172DCB">
        <w:rPr>
          <w:rFonts w:eastAsia="Georgia" w:cs="Georgia"/>
        </w:rPr>
        <w:t>URD.</w:t>
      </w:r>
    </w:p>
    <w:p w14:paraId="6215B165" w14:textId="77777777" w:rsidR="00EA2FF9" w:rsidRDefault="00EA2FF9">
      <w:pPr>
        <w:rPr>
          <w:rFonts w:ascii="Charter" w:hAnsi="Charter" w:cs="Arial Unicode MS"/>
          <w:b/>
          <w:color w:val="000000"/>
          <w:u w:color="000000"/>
          <w14:textOutline w14:w="12700" w14:cap="flat" w14:cmpd="sng" w14:algn="ctr">
            <w14:noFill/>
            <w14:prstDash w14:val="solid"/>
            <w14:miter w14:lim="400000"/>
          </w14:textOutline>
        </w:rPr>
      </w:pPr>
      <w:r>
        <w:rPr>
          <w:b/>
          <w:bCs/>
        </w:rPr>
        <w:br w:type="page"/>
      </w:r>
    </w:p>
    <w:p w14:paraId="3D562774" w14:textId="2ECC3C8D" w:rsidR="003662F8" w:rsidRPr="00D15192" w:rsidRDefault="00172DCB" w:rsidP="00F3061A">
      <w:pPr>
        <w:pStyle w:val="DACParagraph"/>
        <w:rPr>
          <w:rFonts w:eastAsia="Georgia" w:cs="Georgia"/>
          <w:b/>
          <w:bCs w:val="0"/>
        </w:rPr>
      </w:pPr>
      <w:r>
        <w:rPr>
          <w:b/>
          <w:bCs w:val="0"/>
        </w:rPr>
        <w:lastRenderedPageBreak/>
        <w:t>Logistical Burdens</w:t>
      </w:r>
      <w:r w:rsidR="00EA2FF9">
        <w:rPr>
          <w:b/>
          <w:bCs w:val="0"/>
        </w:rPr>
        <w:t xml:space="preserve">. </w:t>
      </w:r>
      <w:bookmarkStart w:id="7" w:name="OLE_LINK30"/>
      <w:bookmarkStart w:id="8" w:name="OLE_LINK33"/>
      <w:r w:rsidR="00F3061A">
        <w:rPr>
          <w:rFonts w:eastAsia="Georgia" w:cs="Georgia"/>
        </w:rPr>
        <w:t>First, a</w:t>
      </w:r>
      <w:r w:rsidR="003662F8" w:rsidRPr="00D15192">
        <w:t xml:space="preserve"> number of logistical burdens have arisen in the context of the </w:t>
      </w:r>
      <w:r w:rsidR="002D73DE" w:rsidRPr="00D15192">
        <w:t xml:space="preserve">VRS </w:t>
      </w:r>
      <w:r w:rsidR="002020C7">
        <w:t>TRS-</w:t>
      </w:r>
      <w:r w:rsidR="003662F8" w:rsidRPr="00D15192">
        <w:t>URD:</w:t>
      </w:r>
      <w:bookmarkEnd w:id="7"/>
      <w:bookmarkEnd w:id="8"/>
    </w:p>
    <w:p w14:paraId="5AC21113" w14:textId="128FA3C2" w:rsidR="003662F8" w:rsidRPr="00EA2FF9" w:rsidRDefault="002D73DE" w:rsidP="00EA2FF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bookmarkStart w:id="9" w:name="_Hlk25675785"/>
      <w:r w:rsidRPr="00D15192">
        <w:rPr>
          <w:rFonts w:cs="Times New Roman"/>
        </w:rPr>
        <w:t xml:space="preserve">In implementing the VRS </w:t>
      </w:r>
      <w:r w:rsidR="003B7B94">
        <w:rPr>
          <w:rFonts w:cs="Times New Roman"/>
        </w:rPr>
        <w:t>TRS-</w:t>
      </w:r>
      <w:r w:rsidRPr="00D15192">
        <w:rPr>
          <w:rFonts w:cs="Times New Roman"/>
        </w:rPr>
        <w:t xml:space="preserve">URD, </w:t>
      </w:r>
      <w:r w:rsidR="007A749D">
        <w:rPr>
          <w:rFonts w:cs="Times New Roman"/>
        </w:rPr>
        <w:t>Providers</w:t>
      </w:r>
      <w:r w:rsidRPr="00D15192">
        <w:rPr>
          <w:rFonts w:cs="Times New Roman"/>
        </w:rPr>
        <w:t xml:space="preserve"> faced significant challenges in </w:t>
      </w:r>
      <w:r w:rsidR="00EB1B06">
        <w:rPr>
          <w:rFonts w:cs="Times New Roman"/>
        </w:rPr>
        <w:t>efficient</w:t>
      </w:r>
      <w:r w:rsidR="00EB1B06" w:rsidRPr="00D15192">
        <w:rPr>
          <w:rFonts w:cs="Times New Roman"/>
        </w:rPr>
        <w:t xml:space="preserve">ly </w:t>
      </w:r>
      <w:r w:rsidRPr="00D15192">
        <w:rPr>
          <w:rFonts w:cs="Times New Roman"/>
        </w:rPr>
        <w:t>registering new users for service:</w:t>
      </w:r>
    </w:p>
    <w:p w14:paraId="6215E343" w14:textId="71AA844E" w:rsidR="003662F8" w:rsidRPr="00D15192" w:rsidRDefault="00D15192" w:rsidP="00A60310">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 xml:space="preserve">Under </w:t>
      </w:r>
      <w:r w:rsidR="005F6C00">
        <w:rPr>
          <w:rFonts w:cs="Times New Roman"/>
        </w:rPr>
        <w:t>the current</w:t>
      </w:r>
      <w:r>
        <w:rPr>
          <w:rFonts w:cs="Times New Roman"/>
        </w:rPr>
        <w:t xml:space="preserve"> custom identity validation formula, the initial submission of new user identities to </w:t>
      </w:r>
      <w:r w:rsidR="00A60310">
        <w:rPr>
          <w:rFonts w:cs="Times New Roman"/>
        </w:rPr>
        <w:t xml:space="preserve">the </w:t>
      </w:r>
      <w:r w:rsidR="00712CB7">
        <w:rPr>
          <w:rFonts w:cs="Times New Roman"/>
        </w:rPr>
        <w:t>TRS</w:t>
      </w:r>
      <w:r w:rsidR="00777F96">
        <w:rPr>
          <w:rFonts w:cs="Times New Roman"/>
        </w:rPr>
        <w:t>-</w:t>
      </w:r>
      <w:r w:rsidR="00712CB7">
        <w:rPr>
          <w:rFonts w:cs="Times New Roman"/>
        </w:rPr>
        <w:t>URD A</w:t>
      </w:r>
      <w:r w:rsidR="00A60310" w:rsidRPr="00A60310">
        <w:rPr>
          <w:rFonts w:cs="Times New Roman"/>
        </w:rPr>
        <w:t>dministrator</w:t>
      </w:r>
      <w:r>
        <w:rPr>
          <w:rFonts w:cs="Times New Roman"/>
        </w:rPr>
        <w:t xml:space="preserve"> fails approximately </w:t>
      </w:r>
      <w:r w:rsidR="00272E5C">
        <w:rPr>
          <w:rFonts w:cs="Times New Roman"/>
        </w:rPr>
        <w:t>twenty-five percent</w:t>
      </w:r>
      <w:r>
        <w:rPr>
          <w:rFonts w:cs="Times New Roman"/>
        </w:rPr>
        <w:t xml:space="preserve"> of the time. </w:t>
      </w:r>
    </w:p>
    <w:p w14:paraId="47CE141C" w14:textId="77777777" w:rsidR="00272E5C" w:rsidRDefault="00272E5C" w:rsidP="00272E5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Many new user registrations fail simply because the user has a common name, has a different married or maiden name, or has a complicated name.</w:t>
      </w:r>
    </w:p>
    <w:p w14:paraId="0536E656" w14:textId="77777777" w:rsidR="00272E5C" w:rsidRDefault="00272E5C" w:rsidP="00272E5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sidRPr="00D15192">
        <w:rPr>
          <w:rFonts w:cs="Times New Roman"/>
        </w:rPr>
        <w:t xml:space="preserve">Approximately </w:t>
      </w:r>
      <w:r>
        <w:rPr>
          <w:rFonts w:cs="Times New Roman"/>
        </w:rPr>
        <w:t>half</w:t>
      </w:r>
      <w:r w:rsidRPr="00D15192">
        <w:rPr>
          <w:rFonts w:cs="Times New Roman"/>
        </w:rPr>
        <w:t xml:space="preserve"> of </w:t>
      </w:r>
      <w:r>
        <w:rPr>
          <w:rFonts w:cs="Times New Roman"/>
        </w:rPr>
        <w:t>the users who fail the initial registration attempt require</w:t>
      </w:r>
      <w:r w:rsidRPr="00D15192">
        <w:rPr>
          <w:rFonts w:cs="Times New Roman"/>
        </w:rPr>
        <w:t xml:space="preserve"> </w:t>
      </w:r>
      <w:r>
        <w:rPr>
          <w:rFonts w:cs="Times New Roman"/>
        </w:rPr>
        <w:t xml:space="preserve">time-consuming </w:t>
      </w:r>
      <w:r w:rsidRPr="00D15192">
        <w:rPr>
          <w:rFonts w:cs="Times New Roman" w:hint="eastAsia"/>
        </w:rPr>
        <w:t>follow</w:t>
      </w:r>
      <w:r>
        <w:rPr>
          <w:rFonts w:cs="Times New Roman" w:hint="eastAsia"/>
        </w:rPr>
        <w:t>-</w:t>
      </w:r>
      <w:r w:rsidRPr="00D15192">
        <w:rPr>
          <w:rFonts w:cs="Times New Roman" w:hint="eastAsia"/>
        </w:rPr>
        <w:t>up</w:t>
      </w:r>
      <w:r w:rsidRPr="00D15192">
        <w:rPr>
          <w:rFonts w:cs="Times New Roman"/>
        </w:rPr>
        <w:t xml:space="preserve"> to obtain</w:t>
      </w:r>
      <w:r w:rsidRPr="00D15192">
        <w:rPr>
          <w:rFonts w:cs="Times New Roman"/>
          <w:spacing w:val="-28"/>
        </w:rPr>
        <w:t xml:space="preserve"> </w:t>
      </w:r>
      <w:r w:rsidRPr="00D15192">
        <w:rPr>
          <w:rFonts w:cs="Times New Roman"/>
        </w:rPr>
        <w:t>additional documents</w:t>
      </w:r>
      <w:r>
        <w:rPr>
          <w:rFonts w:cs="Times New Roman"/>
        </w:rPr>
        <w:t xml:space="preserve"> before they can register</w:t>
      </w:r>
      <w:r w:rsidRPr="00D15192">
        <w:rPr>
          <w:rFonts w:cs="Times New Roman"/>
        </w:rPr>
        <w:t>.</w:t>
      </w:r>
    </w:p>
    <w:p w14:paraId="1303EF2A" w14:textId="421C5CF2" w:rsidR="00272E5C" w:rsidRDefault="00A67394" w:rsidP="00272E5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 xml:space="preserve">Of those users who fail on the initial registration attempt, approximately half are unable or unwilling to provide additional documentation and their service could be terminated.  </w:t>
      </w:r>
      <w:r w:rsidR="00272E5C">
        <w:rPr>
          <w:rFonts w:cs="Times New Roman"/>
        </w:rPr>
        <w:t>Many users who need the service simply give up.</w:t>
      </w:r>
    </w:p>
    <w:bookmarkEnd w:id="9"/>
    <w:p w14:paraId="7796AAB8" w14:textId="606050FC" w:rsidR="00272E5C" w:rsidRPr="00D15192" w:rsidRDefault="00272E5C" w:rsidP="00272E5C">
      <w:pPr>
        <w:pStyle w:val="ListParagraph"/>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 xml:space="preserve">People who are over 65 and have acquired mobility, visual, or cognitive disabilities in addition to hearing loss, may find it difficult to gather and submit the required documentation. </w:t>
      </w:r>
    </w:p>
    <w:p w14:paraId="00EC6B4E" w14:textId="24CF9F4F" w:rsidR="00995D61" w:rsidRPr="008B5909" w:rsidRDefault="001E21EC" w:rsidP="008B5909">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t>S</w:t>
      </w:r>
      <w:r w:rsidR="005B0B15">
        <w:t>everal</w:t>
      </w:r>
      <w:r w:rsidR="00995D61" w:rsidRPr="008B5909">
        <w:t xml:space="preserve"> alternatives to the custom identity validation formula are available</w:t>
      </w:r>
      <w:r w:rsidR="00E739F0">
        <w:t>. These alternatives</w:t>
      </w:r>
      <w:r w:rsidR="001A66D7" w:rsidRPr="008B5909">
        <w:t xml:space="preserve"> </w:t>
      </w:r>
      <w:r w:rsidR="005B0B15">
        <w:t xml:space="preserve">may be less burdensome and may </w:t>
      </w:r>
      <w:r w:rsidR="001A66D7" w:rsidRPr="008B5909">
        <w:t>reduce false initial failures</w:t>
      </w:r>
      <w:r w:rsidR="00995D61" w:rsidRPr="008B5909">
        <w:t xml:space="preserve">. For example, </w:t>
      </w:r>
      <w:r w:rsidR="00577584">
        <w:t xml:space="preserve">LexisNexis' </w:t>
      </w:r>
      <w:proofErr w:type="spellStart"/>
      <w:r w:rsidR="00577584">
        <w:t>InstantID</w:t>
      </w:r>
      <w:proofErr w:type="spellEnd"/>
      <w:r w:rsidR="00995D61" w:rsidRPr="008B5909">
        <w:t xml:space="preserve"> </w:t>
      </w:r>
      <w:r w:rsidR="00577584">
        <w:t xml:space="preserve">is the only identity verification and validation solution endorsed by the American Bankers Association.  Additionally, all 50 of the top US banks utilize LexisNexis’s services.  </w:t>
      </w:r>
      <w:r w:rsidR="00995D61" w:rsidRPr="008B5909">
        <w:t xml:space="preserve">Using </w:t>
      </w:r>
      <w:r w:rsidR="00577584">
        <w:t xml:space="preserve">the </w:t>
      </w:r>
      <w:proofErr w:type="spellStart"/>
      <w:r w:rsidR="00577584">
        <w:t>InstantID</w:t>
      </w:r>
      <w:proofErr w:type="spellEnd"/>
      <w:r w:rsidR="00995D61" w:rsidRPr="008B5909">
        <w:t xml:space="preserve"> </w:t>
      </w:r>
      <w:r w:rsidR="00577584">
        <w:t>Index, which summarizes the level of identity verification with a numeric value ranging from 0 (high identity theft risk) to 50 (low identity theft risk)</w:t>
      </w:r>
      <w:r w:rsidR="005F5002">
        <w:t>,</w:t>
      </w:r>
      <w:r w:rsidR="00577584">
        <w:t xml:space="preserve"> </w:t>
      </w:r>
      <w:r w:rsidR="00E739F0">
        <w:t>might</w:t>
      </w:r>
      <w:r w:rsidR="005B0B15" w:rsidRPr="008B5909">
        <w:t xml:space="preserve"> </w:t>
      </w:r>
      <w:r w:rsidR="00995D61" w:rsidRPr="008B5909">
        <w:t>result in a higher</w:t>
      </w:r>
      <w:r w:rsidR="002D4920">
        <w:t xml:space="preserve"> success rate on identi</w:t>
      </w:r>
      <w:r w:rsidR="00747D0D">
        <w:t>t</w:t>
      </w:r>
      <w:r w:rsidR="002D4920">
        <w:t>y validation</w:t>
      </w:r>
      <w:r w:rsidR="00995D61" w:rsidRPr="008B5909">
        <w:t xml:space="preserve"> on the first submission, </w:t>
      </w:r>
      <w:r>
        <w:t>eliminating the need</w:t>
      </w:r>
      <w:r w:rsidR="00995D61" w:rsidRPr="008B5909">
        <w:t xml:space="preserve"> for users to provide validation documentation and the need for home visits for validation documentation</w:t>
      </w:r>
      <w:r w:rsidR="002D4920">
        <w:t xml:space="preserve"> that end-up only confirming </w:t>
      </w:r>
      <w:r w:rsidR="000970E5">
        <w:t>what the</w:t>
      </w:r>
      <w:r w:rsidR="002D4920">
        <w:t xml:space="preserve"> initial </w:t>
      </w:r>
      <w:proofErr w:type="spellStart"/>
      <w:r w:rsidR="00577584">
        <w:t>InstantID</w:t>
      </w:r>
      <w:proofErr w:type="spellEnd"/>
      <w:r w:rsidR="002D4920">
        <w:t xml:space="preserve"> </w:t>
      </w:r>
      <w:r w:rsidR="00577584">
        <w:t xml:space="preserve">Index </w:t>
      </w:r>
      <w:r w:rsidR="000970E5">
        <w:t>stated; the customer’s identity</w:t>
      </w:r>
      <w:r w:rsidR="00995D61" w:rsidRPr="008B5909">
        <w:t>.</w:t>
      </w:r>
    </w:p>
    <w:p w14:paraId="57D5E881" w14:textId="74CB1BD3" w:rsidR="003662F8" w:rsidRPr="00D15192" w:rsidRDefault="00D15192" w:rsidP="00F3061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sidRPr="00D15192">
        <w:rPr>
          <w:rFonts w:cs="Times New Roman"/>
        </w:rPr>
        <w:t xml:space="preserve">The Commission </w:t>
      </w:r>
      <w:r w:rsidR="003662F8" w:rsidRPr="00D15192">
        <w:rPr>
          <w:rFonts w:cs="Times New Roman"/>
        </w:rPr>
        <w:t xml:space="preserve">provided a </w:t>
      </w:r>
      <w:r w:rsidR="00577494" w:rsidRPr="00D15192">
        <w:rPr>
          <w:rFonts w:cs="Times New Roman"/>
        </w:rPr>
        <w:t>120-day</w:t>
      </w:r>
      <w:r w:rsidR="003662F8" w:rsidRPr="00D15192">
        <w:rPr>
          <w:rFonts w:cs="Times New Roman"/>
        </w:rPr>
        <w:t xml:space="preserve"> period after the </w:t>
      </w:r>
      <w:r w:rsidR="003662F8" w:rsidRPr="00D15192">
        <w:rPr>
          <w:rFonts w:cs="Times New Roman" w:hint="eastAsia"/>
        </w:rPr>
        <w:t>“</w:t>
      </w:r>
      <w:r w:rsidR="003662F8" w:rsidRPr="00D15192">
        <w:rPr>
          <w:rFonts w:cs="Times New Roman" w:hint="eastAsia"/>
        </w:rPr>
        <w:t>go</w:t>
      </w:r>
      <w:r w:rsidR="003662F8" w:rsidRPr="00D15192">
        <w:rPr>
          <w:rFonts w:cs="Times New Roman" w:hint="eastAsia"/>
        </w:rPr>
        <w:t>‐</w:t>
      </w:r>
      <w:r w:rsidR="003662F8" w:rsidRPr="00D15192">
        <w:rPr>
          <w:rFonts w:cs="Times New Roman" w:hint="eastAsia"/>
        </w:rPr>
        <w:t>live</w:t>
      </w:r>
      <w:r w:rsidR="003662F8" w:rsidRPr="00D15192">
        <w:rPr>
          <w:rFonts w:cs="Times New Roman"/>
        </w:rPr>
        <w:t xml:space="preserve"> date”</w:t>
      </w:r>
      <w:r w:rsidR="00502D55">
        <w:rPr>
          <w:rFonts w:cs="Times New Roman"/>
        </w:rPr>
        <w:t xml:space="preserve"> of January 1, </w:t>
      </w:r>
      <w:r w:rsidR="00577494">
        <w:rPr>
          <w:rFonts w:cs="Times New Roman"/>
        </w:rPr>
        <w:t>2018</w:t>
      </w:r>
      <w:r w:rsidR="00134C28">
        <w:rPr>
          <w:rFonts w:cs="Times New Roman"/>
        </w:rPr>
        <w:t>,</w:t>
      </w:r>
      <w:r w:rsidR="00577494">
        <w:rPr>
          <w:rFonts w:cs="Times New Roman"/>
        </w:rPr>
        <w:t xml:space="preserve"> </w:t>
      </w:r>
      <w:r w:rsidR="00577494" w:rsidRPr="00D15192">
        <w:rPr>
          <w:rFonts w:cs="Times New Roman"/>
        </w:rPr>
        <w:t>to</w:t>
      </w:r>
      <w:r w:rsidR="003662F8" w:rsidRPr="00D15192">
        <w:rPr>
          <w:rFonts w:cs="Times New Roman"/>
        </w:rPr>
        <w:t xml:space="preserve"> collect registration information from existing </w:t>
      </w:r>
      <w:r w:rsidR="00A119EA">
        <w:rPr>
          <w:rFonts w:cs="Times New Roman"/>
        </w:rPr>
        <w:t xml:space="preserve">VRS </w:t>
      </w:r>
      <w:r w:rsidR="003662F8" w:rsidRPr="00D15192">
        <w:rPr>
          <w:rFonts w:cs="Times New Roman"/>
        </w:rPr>
        <w:t>users.</w:t>
      </w:r>
      <w:r>
        <w:rPr>
          <w:rStyle w:val="FootnoteReference"/>
          <w:rFonts w:cs="Times New Roman"/>
        </w:rPr>
        <w:footnoteReference w:id="3"/>
      </w:r>
      <w:r w:rsidRPr="00D15192">
        <w:rPr>
          <w:rFonts w:cs="Times New Roman"/>
        </w:rPr>
        <w:t xml:space="preserve"> However, </w:t>
      </w:r>
      <w:r w:rsidR="007A749D">
        <w:rPr>
          <w:rFonts w:cs="Times New Roman"/>
        </w:rPr>
        <w:t>Providers</w:t>
      </w:r>
      <w:r w:rsidRPr="00D15192">
        <w:rPr>
          <w:rFonts w:cs="Times New Roman"/>
        </w:rPr>
        <w:t xml:space="preserve"> collected data during the testing phase </w:t>
      </w:r>
      <w:r w:rsidR="00502D55">
        <w:rPr>
          <w:rFonts w:cs="Times New Roman"/>
        </w:rPr>
        <w:t>that began in 2015</w:t>
      </w:r>
      <w:r w:rsidR="003662F8" w:rsidRPr="00D15192">
        <w:rPr>
          <w:rFonts w:cs="Times New Roman"/>
        </w:rPr>
        <w:t>.</w:t>
      </w:r>
      <w:r w:rsidRPr="00D15192">
        <w:rPr>
          <w:rFonts w:cs="Times New Roman"/>
        </w:rPr>
        <w:t xml:space="preserve"> </w:t>
      </w:r>
      <w:r w:rsidR="003662F8" w:rsidRPr="00D15192">
        <w:rPr>
          <w:rFonts w:cs="Times New Roman"/>
        </w:rPr>
        <w:t xml:space="preserve">If </w:t>
      </w:r>
      <w:r>
        <w:rPr>
          <w:rFonts w:cs="Times New Roman"/>
        </w:rPr>
        <w:t xml:space="preserve">they </w:t>
      </w:r>
      <w:r w:rsidR="003662F8" w:rsidRPr="00D15192">
        <w:rPr>
          <w:rFonts w:cs="Times New Roman"/>
        </w:rPr>
        <w:t xml:space="preserve">had been unable to collect data before the </w:t>
      </w:r>
      <w:r w:rsidR="003662F8" w:rsidRPr="00D15192">
        <w:rPr>
          <w:rFonts w:cs="Times New Roman" w:hint="eastAsia"/>
        </w:rPr>
        <w:t>go</w:t>
      </w:r>
      <w:r w:rsidR="003662F8" w:rsidRPr="00D15192">
        <w:rPr>
          <w:rFonts w:cs="Times New Roman" w:hint="eastAsia"/>
        </w:rPr>
        <w:t>‐</w:t>
      </w:r>
      <w:r w:rsidR="003662F8" w:rsidRPr="00D15192">
        <w:rPr>
          <w:rFonts w:cs="Times New Roman" w:hint="eastAsia"/>
        </w:rPr>
        <w:t>live</w:t>
      </w:r>
      <w:r w:rsidR="003662F8" w:rsidRPr="00D15192">
        <w:rPr>
          <w:rFonts w:cs="Times New Roman"/>
        </w:rPr>
        <w:t xml:space="preserve"> date, </w:t>
      </w:r>
      <w:r>
        <w:rPr>
          <w:rFonts w:cs="Times New Roman"/>
        </w:rPr>
        <w:t xml:space="preserve">they </w:t>
      </w:r>
      <w:r w:rsidR="003662F8" w:rsidRPr="00D15192">
        <w:rPr>
          <w:rFonts w:cs="Times New Roman"/>
        </w:rPr>
        <w:lastRenderedPageBreak/>
        <w:t xml:space="preserve">would not have been able to meet the </w:t>
      </w:r>
      <w:r>
        <w:rPr>
          <w:rFonts w:cs="Times New Roman"/>
        </w:rPr>
        <w:t xml:space="preserve">Commission’s </w:t>
      </w:r>
      <w:r w:rsidR="00502D55">
        <w:rPr>
          <w:rFonts w:cs="Times New Roman"/>
        </w:rPr>
        <w:t xml:space="preserve">120-day </w:t>
      </w:r>
      <w:r w:rsidR="003662F8" w:rsidRPr="00D15192">
        <w:rPr>
          <w:rFonts w:cs="Times New Roman"/>
        </w:rPr>
        <w:t>deadline</w:t>
      </w:r>
      <w:r>
        <w:rPr>
          <w:rFonts w:cs="Times New Roman"/>
        </w:rPr>
        <w:t xml:space="preserve"> and </w:t>
      </w:r>
      <w:r w:rsidR="00A8485E">
        <w:rPr>
          <w:rFonts w:cs="Times New Roman"/>
        </w:rPr>
        <w:t xml:space="preserve">valid </w:t>
      </w:r>
      <w:r>
        <w:rPr>
          <w:rFonts w:cs="Times New Roman"/>
        </w:rPr>
        <w:t xml:space="preserve">users’ service </w:t>
      </w:r>
      <w:r w:rsidR="00502D55">
        <w:rPr>
          <w:rFonts w:cs="Times New Roman"/>
        </w:rPr>
        <w:t xml:space="preserve">could </w:t>
      </w:r>
      <w:r w:rsidR="008B5909">
        <w:rPr>
          <w:rFonts w:cs="Times New Roman"/>
        </w:rPr>
        <w:t>have been</w:t>
      </w:r>
      <w:r>
        <w:rPr>
          <w:rFonts w:cs="Times New Roman"/>
        </w:rPr>
        <w:t xml:space="preserve"> terminated</w:t>
      </w:r>
      <w:r w:rsidR="003662F8" w:rsidRPr="00D15192">
        <w:rPr>
          <w:rFonts w:cs="Times New Roman"/>
        </w:rPr>
        <w:t>.</w:t>
      </w:r>
    </w:p>
    <w:p w14:paraId="3AA7E961" w14:textId="596C7E5E" w:rsidR="003662F8" w:rsidRPr="00B35305" w:rsidRDefault="00BA155E" w:rsidP="00B3530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On average, i</w:t>
      </w:r>
      <w:r w:rsidR="003662F8" w:rsidRPr="00B35305">
        <w:rPr>
          <w:rFonts w:cs="Times New Roman"/>
        </w:rPr>
        <w:t xml:space="preserve">t </w:t>
      </w:r>
      <w:r w:rsidR="00E739F0">
        <w:rPr>
          <w:rFonts w:cs="Times New Roman"/>
        </w:rPr>
        <w:t xml:space="preserve">presently </w:t>
      </w:r>
      <w:r w:rsidR="00F3061A" w:rsidRPr="00B35305">
        <w:rPr>
          <w:rFonts w:cs="Times New Roman"/>
        </w:rPr>
        <w:t xml:space="preserve">takes </w:t>
      </w:r>
      <w:r w:rsidR="003662F8" w:rsidRPr="00B35305">
        <w:rPr>
          <w:rFonts w:cs="Times New Roman"/>
        </w:rPr>
        <w:t xml:space="preserve">two submissions and nine days to successfully register a </w:t>
      </w:r>
      <w:r w:rsidR="00A8485E">
        <w:rPr>
          <w:rFonts w:cs="Times New Roman"/>
        </w:rPr>
        <w:t xml:space="preserve">VRS </w:t>
      </w:r>
      <w:r w:rsidR="003662F8" w:rsidRPr="00B35305">
        <w:rPr>
          <w:rFonts w:cs="Times New Roman"/>
        </w:rPr>
        <w:t>user.</w:t>
      </w:r>
      <w:r w:rsidR="00502D55">
        <w:rPr>
          <w:rFonts w:cs="Times New Roman"/>
        </w:rPr>
        <w:t xml:space="preserve"> </w:t>
      </w:r>
    </w:p>
    <w:p w14:paraId="56B0FB6A" w14:textId="698101CB" w:rsidR="003662F8" w:rsidRPr="00B35305" w:rsidRDefault="000970E5" w:rsidP="00B3530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The TRS</w:t>
      </w:r>
      <w:r w:rsidR="00777F96">
        <w:rPr>
          <w:rFonts w:cs="Times New Roman"/>
        </w:rPr>
        <w:t>-</w:t>
      </w:r>
      <w:r>
        <w:rPr>
          <w:rFonts w:cs="Times New Roman"/>
        </w:rPr>
        <w:t xml:space="preserve">URD </w:t>
      </w:r>
      <w:r w:rsidR="00A82B0E">
        <w:rPr>
          <w:rFonts w:cs="Times New Roman"/>
        </w:rPr>
        <w:t>A</w:t>
      </w:r>
      <w:r>
        <w:rPr>
          <w:rFonts w:cs="Times New Roman"/>
        </w:rPr>
        <w:t>dministrator</w:t>
      </w:r>
      <w:r w:rsidR="007D6E03">
        <w:rPr>
          <w:rFonts w:cs="Times New Roman"/>
        </w:rPr>
        <w:t>’</w:t>
      </w:r>
      <w:r>
        <w:rPr>
          <w:rFonts w:cs="Times New Roman"/>
        </w:rPr>
        <w:t xml:space="preserve">s </w:t>
      </w:r>
      <w:r w:rsidR="00747D0D">
        <w:rPr>
          <w:rFonts w:cs="Times New Roman"/>
        </w:rPr>
        <w:t xml:space="preserve">hourly reply to the </w:t>
      </w:r>
      <w:r>
        <w:rPr>
          <w:rFonts w:cs="Times New Roman"/>
        </w:rPr>
        <w:t>batch submission process</w:t>
      </w:r>
      <w:r w:rsidR="00105521">
        <w:rPr>
          <w:rFonts w:cs="Times New Roman"/>
        </w:rPr>
        <w:t xml:space="preserve"> used to validate </w:t>
      </w:r>
      <w:r w:rsidR="00AB08B8">
        <w:rPr>
          <w:rFonts w:cs="Times New Roman"/>
        </w:rPr>
        <w:t>VRS customer</w:t>
      </w:r>
      <w:r w:rsidR="00105521">
        <w:rPr>
          <w:rFonts w:cs="Times New Roman"/>
        </w:rPr>
        <w:t xml:space="preserve"> identi</w:t>
      </w:r>
      <w:r w:rsidR="00AB08B8">
        <w:rPr>
          <w:rFonts w:cs="Times New Roman"/>
        </w:rPr>
        <w:t>t</w:t>
      </w:r>
      <w:r w:rsidR="00105521">
        <w:rPr>
          <w:rFonts w:cs="Times New Roman"/>
        </w:rPr>
        <w:t>y</w:t>
      </w:r>
      <w:r>
        <w:rPr>
          <w:rFonts w:cs="Times New Roman"/>
        </w:rPr>
        <w:t xml:space="preserve">, even though it’s performed multiple times a day, results in delayed visibility to </w:t>
      </w:r>
      <w:r w:rsidR="00105521">
        <w:rPr>
          <w:rFonts w:cs="Times New Roman"/>
        </w:rPr>
        <w:t>any</w:t>
      </w:r>
      <w:r>
        <w:rPr>
          <w:rFonts w:cs="Times New Roman"/>
        </w:rPr>
        <w:t xml:space="preserve"> </w:t>
      </w:r>
      <w:r w:rsidR="00105521">
        <w:rPr>
          <w:rFonts w:cs="Times New Roman"/>
        </w:rPr>
        <w:t>validation issues</w:t>
      </w:r>
      <w:r w:rsidR="00AB08B8">
        <w:rPr>
          <w:rFonts w:cs="Times New Roman"/>
        </w:rPr>
        <w:t xml:space="preserve"> resulting</w:t>
      </w:r>
      <w:r>
        <w:rPr>
          <w:rFonts w:cs="Times New Roman"/>
        </w:rPr>
        <w:t xml:space="preserve"> in additional visits to the customer to either fix those </w:t>
      </w:r>
      <w:r w:rsidR="00AB08B8">
        <w:rPr>
          <w:rFonts w:cs="Times New Roman"/>
        </w:rPr>
        <w:t>issues</w:t>
      </w:r>
      <w:r>
        <w:rPr>
          <w:rFonts w:cs="Times New Roman"/>
        </w:rPr>
        <w:t xml:space="preserve"> or collect additional documentation</w:t>
      </w:r>
      <w:r w:rsidR="00AB08B8">
        <w:rPr>
          <w:rFonts w:cs="Times New Roman"/>
        </w:rPr>
        <w:t xml:space="preserve">.  This </w:t>
      </w:r>
      <w:r w:rsidR="00502D55">
        <w:rPr>
          <w:rFonts w:cs="Times New Roman"/>
        </w:rPr>
        <w:t xml:space="preserve">could </w:t>
      </w:r>
      <w:r w:rsidR="00BA155E">
        <w:rPr>
          <w:rFonts w:cs="Times New Roman"/>
        </w:rPr>
        <w:t xml:space="preserve">be </w:t>
      </w:r>
      <w:r w:rsidR="00502D55">
        <w:rPr>
          <w:rFonts w:cs="Times New Roman"/>
        </w:rPr>
        <w:t>avoided with real-time submission and result processing</w:t>
      </w:r>
      <w:r>
        <w:rPr>
          <w:rFonts w:cs="Times New Roman"/>
        </w:rPr>
        <w:t xml:space="preserve"> (i.e. real-time identify validation and error code processing)</w:t>
      </w:r>
      <w:r w:rsidR="00502D55">
        <w:rPr>
          <w:rFonts w:cs="Times New Roman"/>
        </w:rPr>
        <w:t>.</w:t>
      </w:r>
    </w:p>
    <w:p w14:paraId="5EA9EECB" w14:textId="5123E66A" w:rsidR="003662F8" w:rsidRPr="00B35305" w:rsidRDefault="001E21EC" w:rsidP="00B3530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Pr>
          <w:rFonts w:cs="Times New Roman"/>
        </w:rPr>
        <w:t>O</w:t>
      </w:r>
      <w:r w:rsidR="00F3061A" w:rsidRPr="00B35305">
        <w:rPr>
          <w:rFonts w:cs="Times New Roman"/>
        </w:rPr>
        <w:t xml:space="preserve">utages at </w:t>
      </w:r>
      <w:r w:rsidR="003662F8" w:rsidRPr="00B35305">
        <w:rPr>
          <w:rFonts w:cs="Times New Roman"/>
        </w:rPr>
        <w:t>LexisNexis</w:t>
      </w:r>
      <w:r w:rsidR="00F3061A" w:rsidRPr="00B35305">
        <w:rPr>
          <w:rFonts w:cs="Times New Roman"/>
        </w:rPr>
        <w:t xml:space="preserve">, </w:t>
      </w:r>
      <w:r>
        <w:rPr>
          <w:rFonts w:cs="Times New Roman"/>
        </w:rPr>
        <w:t>the current</w:t>
      </w:r>
      <w:r w:rsidR="00F3061A" w:rsidRPr="00B35305">
        <w:rPr>
          <w:rFonts w:cs="Times New Roman"/>
        </w:rPr>
        <w:t xml:space="preserve"> identity verification vendor, have repeatedly </w:t>
      </w:r>
      <w:r w:rsidR="003662F8" w:rsidRPr="00B35305">
        <w:rPr>
          <w:rFonts w:cs="Times New Roman"/>
        </w:rPr>
        <w:t xml:space="preserve">caused </w:t>
      </w:r>
      <w:r w:rsidR="00502D55">
        <w:rPr>
          <w:rFonts w:cs="Times New Roman"/>
        </w:rPr>
        <w:t xml:space="preserve">extended delays in processing </w:t>
      </w:r>
      <w:r w:rsidR="008B5909">
        <w:rPr>
          <w:rFonts w:cs="Times New Roman"/>
        </w:rPr>
        <w:t>URD</w:t>
      </w:r>
      <w:r w:rsidR="003662F8" w:rsidRPr="00B35305">
        <w:rPr>
          <w:rFonts w:cs="Times New Roman"/>
        </w:rPr>
        <w:t xml:space="preserve"> submissions. </w:t>
      </w:r>
    </w:p>
    <w:p w14:paraId="383AC10E" w14:textId="7EEFEC42" w:rsidR="003662F8" w:rsidRPr="00B35305" w:rsidRDefault="00F3061A" w:rsidP="00B3530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40" w:line="300" w:lineRule="exact"/>
        <w:contextualSpacing/>
        <w:rPr>
          <w:rFonts w:cs="Times New Roman"/>
        </w:rPr>
      </w:pPr>
      <w:r w:rsidRPr="00B35305">
        <w:rPr>
          <w:rFonts w:cs="Times New Roman"/>
        </w:rPr>
        <w:t>Hundreds of</w:t>
      </w:r>
      <w:r w:rsidR="003662F8" w:rsidRPr="00B35305">
        <w:rPr>
          <w:rFonts w:cs="Times New Roman"/>
        </w:rPr>
        <w:t xml:space="preserve"> users </w:t>
      </w:r>
      <w:r w:rsidRPr="00B35305">
        <w:rPr>
          <w:rFonts w:cs="Times New Roman"/>
        </w:rPr>
        <w:t xml:space="preserve">have had their service delayed for an average of several months while waiting to receive approval </w:t>
      </w:r>
      <w:r w:rsidR="00254DDE">
        <w:rPr>
          <w:rFonts w:cs="Times New Roman"/>
        </w:rPr>
        <w:t xml:space="preserve">via </w:t>
      </w:r>
      <w:r w:rsidRPr="00B35305">
        <w:rPr>
          <w:rFonts w:cs="Times New Roman"/>
        </w:rPr>
        <w:t xml:space="preserve">the </w:t>
      </w:r>
      <w:r w:rsidR="00254DDE">
        <w:rPr>
          <w:rFonts w:cs="Times New Roman"/>
        </w:rPr>
        <w:t>current</w:t>
      </w:r>
      <w:r w:rsidR="00254DDE" w:rsidRPr="00B35305">
        <w:rPr>
          <w:rFonts w:cs="Times New Roman"/>
        </w:rPr>
        <w:t xml:space="preserve"> </w:t>
      </w:r>
      <w:r w:rsidRPr="00B35305">
        <w:rPr>
          <w:rFonts w:cs="Times New Roman"/>
        </w:rPr>
        <w:t>appeal process</w:t>
      </w:r>
      <w:r w:rsidR="003662F8" w:rsidRPr="00B35305">
        <w:rPr>
          <w:rFonts w:cs="Times New Roman"/>
        </w:rPr>
        <w:t xml:space="preserve">. </w:t>
      </w:r>
    </w:p>
    <w:p w14:paraId="6CE35538" w14:textId="6D0DF690" w:rsidR="00B35305" w:rsidRPr="00E4455E" w:rsidRDefault="00254DDE" w:rsidP="00B35305">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cs="Times New Roman"/>
        </w:rPr>
      </w:pPr>
      <w:r>
        <w:rPr>
          <w:rFonts w:cs="Times New Roman"/>
        </w:rPr>
        <w:t>T</w:t>
      </w:r>
      <w:r w:rsidR="00B35305" w:rsidRPr="00B35305">
        <w:rPr>
          <w:rFonts w:cs="Times New Roman"/>
        </w:rPr>
        <w:t xml:space="preserve">he instructions and process for filing </w:t>
      </w:r>
      <w:r>
        <w:rPr>
          <w:rFonts w:cs="Times New Roman"/>
        </w:rPr>
        <w:t>ha</w:t>
      </w:r>
      <w:r w:rsidR="00C56E03">
        <w:rPr>
          <w:rFonts w:cs="Times New Roman"/>
        </w:rPr>
        <w:t>ve</w:t>
      </w:r>
      <w:r>
        <w:rPr>
          <w:rFonts w:cs="Times New Roman"/>
        </w:rPr>
        <w:t xml:space="preserve"> been modified </w:t>
      </w:r>
      <w:r w:rsidR="00B35305" w:rsidRPr="00B35305">
        <w:rPr>
          <w:rFonts w:cs="Times New Roman"/>
        </w:rPr>
        <w:t>multiple times. Many i</w:t>
      </w:r>
      <w:r w:rsidR="00B35305" w:rsidRPr="00B35305">
        <w:t>nstructions are incomplete and</w:t>
      </w:r>
      <w:r w:rsidR="000029AE">
        <w:t>,</w:t>
      </w:r>
      <w:r w:rsidR="00B35305" w:rsidRPr="00B35305">
        <w:t xml:space="preserve"> as a result, have required frequent updates both during testing and after the VRS URD went live. The instructions have not sufficiently defined the types of acceptable documents or matching requirements between documents and URD data.</w:t>
      </w:r>
    </w:p>
    <w:p w14:paraId="4BB8F2D0" w14:textId="1919A0A6" w:rsidR="00E4455E" w:rsidRPr="00E4455E" w:rsidRDefault="00E4455E" w:rsidP="00E4455E">
      <w:pPr>
        <w:pStyle w:val="DACParagraph"/>
        <w:spacing w:before="160"/>
        <w:rPr>
          <w:rFonts w:cs="Times New Roman"/>
        </w:rPr>
      </w:pPr>
      <w:r>
        <w:t>In addition, some new logistical barriers are likely to arise in the context of IP CTS</w:t>
      </w:r>
      <w:r w:rsidRPr="00D15192">
        <w:t>:</w:t>
      </w:r>
    </w:p>
    <w:p w14:paraId="3FAFEE7C" w14:textId="4771ACFC" w:rsidR="001708AB" w:rsidRDefault="00AB08B8" w:rsidP="002D588A">
      <w:pPr>
        <w:pStyle w:val="ListParagraph"/>
        <w:numPr>
          <w:ilvl w:val="0"/>
          <w:numId w:val="23"/>
        </w:numPr>
        <w:shd w:val="clear" w:color="auto" w:fill="FFFFFF"/>
        <w:spacing w:line="300" w:lineRule="exact"/>
      </w:pPr>
      <w:r>
        <w:t>Unlike VRS, t</w:t>
      </w:r>
      <w:r w:rsidR="00935282">
        <w:t>he Commission’s</w:t>
      </w:r>
      <w:r w:rsidR="002D588A" w:rsidRPr="002D588A">
        <w:t xml:space="preserve"> IP CTS rules </w:t>
      </w:r>
      <w:r w:rsidR="00935282">
        <w:t xml:space="preserve">currently </w:t>
      </w:r>
      <w:r w:rsidR="002D588A" w:rsidRPr="002D588A">
        <w:t xml:space="preserve">do not include </w:t>
      </w:r>
      <w:r>
        <w:t xml:space="preserve">clear </w:t>
      </w:r>
      <w:r w:rsidR="002D588A" w:rsidRPr="002D588A">
        <w:t>guidance for enterprise phones</w:t>
      </w:r>
      <w:r w:rsidR="00935282">
        <w:t>—those</w:t>
      </w:r>
      <w:r w:rsidR="001708AB">
        <w:t xml:space="preserve"> used outside an individual’s home</w:t>
      </w:r>
      <w:r w:rsidR="00D153D0">
        <w:t xml:space="preserve"> for business, institutional, or </w:t>
      </w:r>
      <w:r w:rsidR="00582CE5" w:rsidRPr="003970DE">
        <w:t>residential</w:t>
      </w:r>
      <w:r w:rsidR="00582CE5">
        <w:t xml:space="preserve"> facility </w:t>
      </w:r>
      <w:r w:rsidR="00D153D0">
        <w:t>purposes</w:t>
      </w:r>
      <w:r w:rsidR="002D588A" w:rsidRPr="002D588A">
        <w:t>.</w:t>
      </w:r>
      <w:r w:rsidR="007D6E03">
        <w:rPr>
          <w:rStyle w:val="FootnoteReference"/>
        </w:rPr>
        <w:footnoteReference w:id="4"/>
      </w:r>
    </w:p>
    <w:p w14:paraId="6324638B" w14:textId="6FE3FBC0" w:rsidR="002D588A" w:rsidRPr="00DA3F7C" w:rsidRDefault="00AB08B8" w:rsidP="00A67394">
      <w:pPr>
        <w:pStyle w:val="ListParagraph"/>
        <w:numPr>
          <w:ilvl w:val="1"/>
          <w:numId w:val="23"/>
        </w:numPr>
        <w:shd w:val="clear" w:color="auto" w:fill="FFFFFF"/>
        <w:spacing w:line="300" w:lineRule="exact"/>
        <w:rPr>
          <w:strike/>
        </w:rPr>
      </w:pPr>
      <w:r>
        <w:t>While the Commission does provide clear guidance on user registration requirements,</w:t>
      </w:r>
      <w:r w:rsidR="007D6E03">
        <w:rPr>
          <w:rStyle w:val="FootnoteReference"/>
        </w:rPr>
        <w:footnoteReference w:id="5"/>
      </w:r>
      <w:r>
        <w:t xml:space="preserve"> those requirements may encounter obstacles when r</w:t>
      </w:r>
      <w:r w:rsidR="00747D0D">
        <w:t>u</w:t>
      </w:r>
      <w:r>
        <w:t xml:space="preserve">n </w:t>
      </w:r>
      <w:r w:rsidR="001A234F">
        <w:t>parallel</w:t>
      </w:r>
      <w:r>
        <w:t xml:space="preserve"> to the user validation process associated in the TRS URD. For example, consider the context of validating a user’s address, phone number, and full legal name utilizing an identity validation process when the address and phone number being used to register an individual may be their workplace address and the phone number associated with the IP CTS service belongs to the enterprise they are employed by</w:t>
      </w:r>
      <w:r w:rsidR="001A234F">
        <w:t xml:space="preserve"> or the assisted living facility </w:t>
      </w:r>
      <w:r w:rsidR="00747D0D">
        <w:t xml:space="preserve">where </w:t>
      </w:r>
      <w:r w:rsidR="001A234F">
        <w:t xml:space="preserve">they currently reside.  </w:t>
      </w:r>
      <w:r w:rsidR="003E0656">
        <w:t>In that case, the identity verification process is likely to fail</w:t>
      </w:r>
      <w:r w:rsidR="005C3730">
        <w:t>.</w:t>
      </w:r>
    </w:p>
    <w:p w14:paraId="2BE8A2B9" w14:textId="3644BBB4" w:rsidR="002D588A" w:rsidRPr="008D46D6" w:rsidRDefault="002D588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cs="Times New Roman"/>
        </w:rPr>
      </w:pPr>
      <w:bookmarkStart w:id="10" w:name="OLE_LINK37"/>
      <w:bookmarkStart w:id="11" w:name="OLE_LINK38"/>
      <w:r w:rsidRPr="002D588A">
        <w:t xml:space="preserve">Multiple qualified individuals with hearing loss in </w:t>
      </w:r>
      <w:r w:rsidR="001708AB">
        <w:t>workplace</w:t>
      </w:r>
      <w:r w:rsidR="00935282">
        <w:t>s</w:t>
      </w:r>
      <w:r w:rsidR="001708AB">
        <w:t xml:space="preserve"> and </w:t>
      </w:r>
      <w:r w:rsidR="00935282">
        <w:t xml:space="preserve">other </w:t>
      </w:r>
      <w:r w:rsidR="001708AB">
        <w:t xml:space="preserve">temporary </w:t>
      </w:r>
      <w:r w:rsidRPr="002D588A">
        <w:t xml:space="preserve">settings may </w:t>
      </w:r>
      <w:r w:rsidR="001708AB">
        <w:t xml:space="preserve">need to </w:t>
      </w:r>
      <w:r w:rsidRPr="002D588A">
        <w:t>use the same address or main phone number. There currently are no guidelines for</w:t>
      </w:r>
      <w:r w:rsidR="00DC07F6">
        <w:t xml:space="preserve"> these types of settings</w:t>
      </w:r>
      <w:r w:rsidR="00D153D0">
        <w:t xml:space="preserve">. </w:t>
      </w:r>
      <w:r w:rsidRPr="002D588A">
        <w:lastRenderedPageBreak/>
        <w:t xml:space="preserve">However, the institution of the </w:t>
      </w:r>
      <w:r w:rsidR="00AB08B8">
        <w:t xml:space="preserve">TRS </w:t>
      </w:r>
      <w:r w:rsidRPr="002D588A">
        <w:t>URD process as</w:t>
      </w:r>
      <w:r w:rsidR="00D153D0">
        <w:t xml:space="preserve"> </w:t>
      </w:r>
      <w:r w:rsidR="00D74E0B">
        <w:t xml:space="preserve">currently </w:t>
      </w:r>
      <w:r w:rsidR="00D153D0">
        <w:t>formulated</w:t>
      </w:r>
      <w:r w:rsidR="00935282">
        <w:t xml:space="preserve">—with </w:t>
      </w:r>
      <w:r w:rsidRPr="002D588A">
        <w:t>one IP CTS user attached to one address/phone numbe</w:t>
      </w:r>
      <w:r w:rsidR="00935282">
        <w:t xml:space="preserve">r—may </w:t>
      </w:r>
      <w:r w:rsidRPr="002D588A">
        <w:t xml:space="preserve">preclude the possibility of multiple qualified users at one </w:t>
      </w:r>
      <w:r w:rsidR="00577494" w:rsidRPr="002D588A">
        <w:t>address</w:t>
      </w:r>
      <w:r w:rsidR="00E4455E">
        <w:t xml:space="preserve">. It also </w:t>
      </w:r>
      <w:r w:rsidR="005F508C">
        <w:t xml:space="preserve">may preclude </w:t>
      </w:r>
      <w:r w:rsidRPr="002D588A">
        <w:t>the possibility of one individual registering at more than one address or a temporary location.</w:t>
      </w:r>
      <w:bookmarkEnd w:id="10"/>
      <w:bookmarkEnd w:id="11"/>
    </w:p>
    <w:p w14:paraId="6EBA00D7" w14:textId="4A4809F7" w:rsidR="003662F8" w:rsidRPr="00B35305" w:rsidRDefault="008D46D6" w:rsidP="00E4455E">
      <w:pPr>
        <w:pStyle w:val="DACParagraph"/>
        <w:spacing w:before="160"/>
      </w:pPr>
      <w:r w:rsidRPr="00C13731">
        <w:rPr>
          <w:b/>
        </w:rPr>
        <w:t>Consumer Privacy</w:t>
      </w:r>
      <w:r w:rsidR="003970DE">
        <w:rPr>
          <w:b/>
        </w:rPr>
        <w:t>.</w:t>
      </w:r>
      <w:bookmarkStart w:id="12" w:name="OLE_LINK20"/>
      <w:bookmarkStart w:id="13" w:name="OLE_LINK21"/>
      <w:bookmarkStart w:id="14" w:name="OLE_LINK22"/>
      <w:r w:rsidR="00CD5B18">
        <w:rPr>
          <w:b/>
        </w:rPr>
        <w:t xml:space="preserve"> </w:t>
      </w:r>
      <w:r w:rsidR="002B22D8">
        <w:t>Second</w:t>
      </w:r>
      <w:r w:rsidR="00F3061A" w:rsidRPr="00B35305">
        <w:t>, numerous concerns about user privacy have arisen in the context of the VRS URD:</w:t>
      </w:r>
    </w:p>
    <w:bookmarkEnd w:id="12"/>
    <w:bookmarkEnd w:id="13"/>
    <w:bookmarkEnd w:id="14"/>
    <w:p w14:paraId="343AF92F" w14:textId="779F8EDA" w:rsidR="00766D19" w:rsidRPr="00766D19" w:rsidRDefault="00766D19" w:rsidP="00B3530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eastAsia="Times New Roman" w:cs="Times New Roman"/>
          <w:color w:val="222222"/>
        </w:rPr>
      </w:pPr>
      <w:r>
        <w:rPr>
          <w:rFonts w:eastAsia="Times New Roman" w:cs="Times New Roman"/>
          <w:color w:val="222222"/>
        </w:rPr>
        <w:t>The use of LexisNexis requires the examination of consumer credit history simply to verify a consumer’s identity, which forces users to choose between suffering significant dignitary harms and not using the service</w:t>
      </w:r>
      <w:r w:rsidR="007C36B5">
        <w:rPr>
          <w:rFonts w:eastAsia="Times New Roman" w:cs="Times New Roman"/>
          <w:color w:val="222222"/>
        </w:rPr>
        <w:t xml:space="preserve"> they need for telecommunications access</w:t>
      </w:r>
      <w:r>
        <w:rPr>
          <w:rFonts w:eastAsia="Times New Roman" w:cs="Times New Roman"/>
          <w:color w:val="222222"/>
        </w:rPr>
        <w:t>.</w:t>
      </w:r>
    </w:p>
    <w:p w14:paraId="5ED775D5" w14:textId="49949873" w:rsidR="00F3061A" w:rsidRPr="00B35305" w:rsidRDefault="00F3061A" w:rsidP="00B35305">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eastAsia="Times New Roman" w:cs="Times New Roman"/>
          <w:color w:val="222222"/>
        </w:rPr>
      </w:pPr>
      <w:r w:rsidRPr="00B35305">
        <w:rPr>
          <w:rFonts w:cs="Times New Roman"/>
        </w:rPr>
        <w:t xml:space="preserve">The VRS URD process has required </w:t>
      </w:r>
      <w:r w:rsidR="007A749D">
        <w:rPr>
          <w:rFonts w:cs="Times New Roman"/>
        </w:rPr>
        <w:t>Providers</w:t>
      </w:r>
      <w:r w:rsidRPr="00B35305">
        <w:rPr>
          <w:rFonts w:cs="Times New Roman"/>
        </w:rPr>
        <w:t xml:space="preserve"> to collect tens of thousands of sensitive documents from </w:t>
      </w:r>
      <w:r w:rsidR="00A15392">
        <w:rPr>
          <w:rFonts w:cs="Times New Roman"/>
        </w:rPr>
        <w:t xml:space="preserve">VRS </w:t>
      </w:r>
      <w:r w:rsidRPr="00B35305">
        <w:rPr>
          <w:rFonts w:cs="Times New Roman"/>
        </w:rPr>
        <w:t xml:space="preserve">users beginning </w:t>
      </w:r>
      <w:r w:rsidR="000029AE">
        <w:rPr>
          <w:rFonts w:cs="Times New Roman"/>
        </w:rPr>
        <w:t>in</w:t>
      </w:r>
      <w:r w:rsidR="000029AE" w:rsidRPr="00B35305">
        <w:rPr>
          <w:rFonts w:cs="Times New Roman"/>
        </w:rPr>
        <w:t xml:space="preserve"> </w:t>
      </w:r>
      <w:r w:rsidRPr="00B35305">
        <w:rPr>
          <w:rFonts w:cs="Times New Roman"/>
        </w:rPr>
        <w:t>2015.</w:t>
      </w:r>
    </w:p>
    <w:p w14:paraId="0AD05894" w14:textId="64A9600C" w:rsidR="00F3061A" w:rsidRPr="00B35305" w:rsidRDefault="00F3061A" w:rsidP="00B35305">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eastAsia="Times New Roman" w:cs="Times New Roman"/>
          <w:color w:val="222222"/>
        </w:rPr>
      </w:pPr>
      <w:r w:rsidRPr="00B35305">
        <w:rPr>
          <w:rFonts w:cs="Times New Roman"/>
        </w:rPr>
        <w:t xml:space="preserve">Some </w:t>
      </w:r>
      <w:r w:rsidR="007A749D">
        <w:rPr>
          <w:rFonts w:cs="Times New Roman"/>
        </w:rPr>
        <w:t>Providers</w:t>
      </w:r>
      <w:r w:rsidRPr="00B35305">
        <w:rPr>
          <w:rFonts w:cs="Times New Roman"/>
        </w:rPr>
        <w:t xml:space="preserve"> understand the Commission’s current rules to require maintaining documentation for</w:t>
      </w:r>
      <w:r w:rsidRPr="00B35305">
        <w:rPr>
          <w:rFonts w:cs="Times New Roman"/>
          <w:spacing w:val="-27"/>
        </w:rPr>
        <w:t xml:space="preserve"> </w:t>
      </w:r>
      <w:r w:rsidRPr="00B35305">
        <w:rPr>
          <w:rFonts w:cs="Times New Roman"/>
        </w:rPr>
        <w:t>at least five years after a user terminates service</w:t>
      </w:r>
      <w:r w:rsidR="003970DE">
        <w:rPr>
          <w:rFonts w:cs="Times New Roman"/>
        </w:rPr>
        <w:t>, or indefinitely in some cases.</w:t>
      </w:r>
      <w:r w:rsidRPr="00B35305">
        <w:rPr>
          <w:rFonts w:cs="Times New Roman"/>
        </w:rPr>
        <w:t xml:space="preserve"> Providers do not want to maintain copies of sensitive consumer documents.</w:t>
      </w:r>
      <w:r w:rsidR="00C3580F">
        <w:rPr>
          <w:rFonts w:cs="Times New Roman"/>
        </w:rPr>
        <w:t xml:space="preserve"> C</w:t>
      </w:r>
      <w:r w:rsidR="00D74E0B">
        <w:rPr>
          <w:rFonts w:cs="Times New Roman"/>
        </w:rPr>
        <w:t>onsumers do not want sensitive</w:t>
      </w:r>
      <w:r w:rsidR="00C3580F">
        <w:rPr>
          <w:rFonts w:cs="Times New Roman"/>
        </w:rPr>
        <w:t xml:space="preserve"> information held any longer than is </w:t>
      </w:r>
      <w:r w:rsidR="00577494">
        <w:rPr>
          <w:rFonts w:cs="Times New Roman"/>
        </w:rPr>
        <w:t>necessary</w:t>
      </w:r>
      <w:r w:rsidR="00C3580F">
        <w:rPr>
          <w:rFonts w:cs="Times New Roman"/>
        </w:rPr>
        <w:t>.</w:t>
      </w:r>
    </w:p>
    <w:p w14:paraId="1C5E5E0F" w14:textId="7AEE8C0A" w:rsidR="00F3061A" w:rsidRPr="00766D19" w:rsidRDefault="0093757A" w:rsidP="00A60310">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cs="Times New Roman"/>
        </w:rPr>
      </w:pPr>
      <w:r>
        <w:rPr>
          <w:rFonts w:cs="Times New Roman"/>
        </w:rPr>
        <w:t xml:space="preserve">The Commission’s current rules </w:t>
      </w:r>
      <w:r w:rsidR="00F3061A" w:rsidRPr="00B35305">
        <w:rPr>
          <w:rFonts w:cs="Times New Roman"/>
        </w:rPr>
        <w:t xml:space="preserve">require </w:t>
      </w:r>
      <w:r w:rsidR="007A749D">
        <w:rPr>
          <w:rFonts w:cs="Times New Roman"/>
        </w:rPr>
        <w:t>Providers</w:t>
      </w:r>
      <w:r w:rsidR="00F3061A" w:rsidRPr="00B35305">
        <w:rPr>
          <w:rFonts w:cs="Times New Roman"/>
        </w:rPr>
        <w:t xml:space="preserve"> to submit user documentation as part of the appeal process</w:t>
      </w:r>
      <w:r>
        <w:rPr>
          <w:rFonts w:cs="Times New Roman"/>
        </w:rPr>
        <w:t>. This documentation</w:t>
      </w:r>
      <w:r w:rsidR="00B35305" w:rsidRPr="00B35305">
        <w:rPr>
          <w:rFonts w:cs="Times New Roman"/>
        </w:rPr>
        <w:t xml:space="preserve"> contains sensitive consumer data.</w:t>
      </w:r>
      <w:r w:rsidR="005F5002">
        <w:rPr>
          <w:rFonts w:cs="Times New Roman"/>
        </w:rPr>
        <w:t xml:space="preserve"> </w:t>
      </w:r>
      <w:r w:rsidR="00B35305" w:rsidRPr="00B35305">
        <w:rPr>
          <w:rFonts w:cs="Times New Roman"/>
        </w:rPr>
        <w:t xml:space="preserve"> </w:t>
      </w:r>
      <w:r w:rsidR="00A60310">
        <w:t>A</w:t>
      </w:r>
      <w:r w:rsidR="00F555E4">
        <w:t xml:space="preserve">lthough the URD program currently does not have a retention policy, </w:t>
      </w:r>
      <w:r w:rsidR="00712CB7">
        <w:t>the TRS</w:t>
      </w:r>
      <w:r w:rsidR="00777F96">
        <w:t>-</w:t>
      </w:r>
      <w:r w:rsidR="00712CB7">
        <w:t>URD A</w:t>
      </w:r>
      <w:r w:rsidR="00A60310" w:rsidRPr="00A60310">
        <w:t>dministrator</w:t>
      </w:r>
      <w:r w:rsidR="00A60310">
        <w:t xml:space="preserve">, Providers and </w:t>
      </w:r>
      <w:r w:rsidR="00F555E4">
        <w:t xml:space="preserve">the Commission maintain these records for </w:t>
      </w:r>
      <w:r w:rsidR="00A60310">
        <w:t>an unspecified amount of time</w:t>
      </w:r>
      <w:r w:rsidR="00F555E4">
        <w:t>.</w:t>
      </w:r>
      <w:r w:rsidR="00F555E4">
        <w:rPr>
          <w:rStyle w:val="FootnoteReference"/>
        </w:rPr>
        <w:footnoteReference w:id="6"/>
      </w:r>
    </w:p>
    <w:p w14:paraId="473050DA" w14:textId="5494483D" w:rsidR="00A84874" w:rsidRPr="00FC17D0" w:rsidRDefault="00A84874" w:rsidP="00A84874">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rPr>
          <w:rFonts w:cs="Times New Roman"/>
        </w:rPr>
      </w:pPr>
      <w:bookmarkStart w:id="15" w:name="OLE_LINK1"/>
      <w:bookmarkStart w:id="16" w:name="OLE_LINK2"/>
      <w:r>
        <w:t>The collection, use, and retention of personal information raise</w:t>
      </w:r>
      <w:r w:rsidR="00665E67">
        <w:t>s</w:t>
      </w:r>
      <w:r>
        <w:t xml:space="preserve"> the prospect of legal issues under a variety of statutes, including Section 222 of the Communications Act, the Privacy Act, the California Consumer Privacy Act, and others. </w:t>
      </w:r>
    </w:p>
    <w:p w14:paraId="239AA898" w14:textId="7931CBCF" w:rsidR="00A84874" w:rsidRDefault="00A84874" w:rsidP="00A8487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pPr>
      <w:r w:rsidRPr="004D7B95">
        <w:rPr>
          <w:b/>
          <w:bCs/>
        </w:rPr>
        <w:t>Section 222.</w:t>
      </w:r>
      <w:r w:rsidRPr="00FC17D0">
        <w:t xml:space="preserve"> The information </w:t>
      </w:r>
      <w:r>
        <w:t xml:space="preserve">collected as part of the URD process is subject to </w:t>
      </w:r>
      <w:r w:rsidRPr="00FC17D0">
        <w:t xml:space="preserve">Section 222 of the </w:t>
      </w:r>
      <w:r>
        <w:t xml:space="preserve">Communications </w:t>
      </w:r>
      <w:r w:rsidRPr="00FC17D0">
        <w:t xml:space="preserve">Act. </w:t>
      </w:r>
      <w:r w:rsidR="007A749D">
        <w:t>Providers</w:t>
      </w:r>
      <w:r w:rsidRPr="00F05D19">
        <w:t xml:space="preserve"> </w:t>
      </w:r>
      <w:r w:rsidRPr="00F840F1">
        <w:t>are prohibited from using, disclosing, or permitting access to customer information abse</w:t>
      </w:r>
      <w:r w:rsidRPr="00FC17D0">
        <w:t xml:space="preserve">nt affirmative, written consent. </w:t>
      </w:r>
      <w:r>
        <w:t xml:space="preserve">Each </w:t>
      </w:r>
      <w:r w:rsidRPr="00F840F1">
        <w:t>entity</w:t>
      </w:r>
      <w:r>
        <w:t xml:space="preserve"> involved in </w:t>
      </w:r>
      <w:r w:rsidR="00011388">
        <w:t>a</w:t>
      </w:r>
      <w:r>
        <w:t xml:space="preserve"> transaction</w:t>
      </w:r>
      <w:r w:rsidR="00011388">
        <w:t xml:space="preserve"> involving customer information</w:t>
      </w:r>
      <w:r w:rsidRPr="00F840F1">
        <w:t xml:space="preserve"> is bound </w:t>
      </w:r>
      <w:r>
        <w:t xml:space="preserve">to </w:t>
      </w:r>
      <w:r w:rsidRPr="00F840F1">
        <w:t>maintain the confidentiality of the information.</w:t>
      </w:r>
    </w:p>
    <w:p w14:paraId="7F428A2F" w14:textId="6E799200" w:rsidR="00A84874" w:rsidRPr="00F840F1" w:rsidRDefault="00A84874" w:rsidP="00A84874">
      <w:pPr>
        <w:pStyle w:val="ListParagraph"/>
        <w:numPr>
          <w:ilvl w:val="1"/>
          <w:numId w:val="3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00" w:lineRule="exact"/>
        <w:contextualSpacing/>
      </w:pPr>
      <w:r>
        <w:t xml:space="preserve">The </w:t>
      </w:r>
      <w:r w:rsidRPr="004D7B95">
        <w:rPr>
          <w:b/>
          <w:bCs/>
        </w:rPr>
        <w:t>Privacy Act</w:t>
      </w:r>
      <w:r w:rsidRPr="00F05D19">
        <w:t xml:space="preserve"> extend</w:t>
      </w:r>
      <w:r>
        <w:t>s</w:t>
      </w:r>
      <w:r w:rsidRPr="00F05D19">
        <w:t xml:space="preserve"> to companies </w:t>
      </w:r>
      <w:r w:rsidR="000029AE">
        <w:t>that</w:t>
      </w:r>
      <w:r w:rsidR="000029AE" w:rsidRPr="00F05D19">
        <w:t xml:space="preserve"> </w:t>
      </w:r>
      <w:r w:rsidRPr="00F05D19">
        <w:t xml:space="preserve">are contracted by the government to provide for “design, development, or operation of a system of records on individuals on behalf of an agency to accomplish an agency function” under the </w:t>
      </w:r>
      <w:bookmarkStart w:id="17" w:name="OLE_LINK4"/>
      <w:bookmarkStart w:id="18" w:name="OLE_LINK5"/>
      <w:r w:rsidRPr="00F05D19">
        <w:t>Feder</w:t>
      </w:r>
      <w:r>
        <w:t>al Acquisition Regulation</w:t>
      </w:r>
      <w:bookmarkEnd w:id="17"/>
      <w:bookmarkEnd w:id="18"/>
      <w:r>
        <w:t>. A</w:t>
      </w:r>
      <w:r w:rsidRPr="00F05D19">
        <w:t>s applied to the URD</w:t>
      </w:r>
      <w:r>
        <w:t>,</w:t>
      </w:r>
      <w:r w:rsidRPr="00F05D19">
        <w:t xml:space="preserve"> </w:t>
      </w:r>
      <w:r>
        <w:t>th</w:t>
      </w:r>
      <w:r w:rsidRPr="00F05D19">
        <w:t xml:space="preserve">e Privacy Act </w:t>
      </w:r>
      <w:r>
        <w:t xml:space="preserve">covers the </w:t>
      </w:r>
      <w:r w:rsidRPr="00F05D19">
        <w:t>Commission as well as</w:t>
      </w:r>
      <w:r w:rsidR="008E7CD7">
        <w:t xml:space="preserve"> the TRS-URD Administrator</w:t>
      </w:r>
      <w:r w:rsidR="00654CA1">
        <w:t xml:space="preserve"> and i</w:t>
      </w:r>
      <w:r w:rsidRPr="00F05D19">
        <w:t xml:space="preserve">dentity verification agents, and other third parties </w:t>
      </w:r>
      <w:r w:rsidR="00654CA1">
        <w:lastRenderedPageBreak/>
        <w:t xml:space="preserve">used by the TRS-URD Administrator </w:t>
      </w:r>
      <w:r w:rsidRPr="00F05D19">
        <w:t>in the administration an</w:t>
      </w:r>
      <w:r>
        <w:t>d operation of the URD</w:t>
      </w:r>
      <w:r w:rsidRPr="00F05D19">
        <w:t>.</w:t>
      </w:r>
    </w:p>
    <w:bookmarkEnd w:id="15"/>
    <w:bookmarkEnd w:id="16"/>
    <w:p w14:paraId="64557429" w14:textId="1ABD66D8" w:rsidR="003662F8" w:rsidRPr="00BF1F54" w:rsidRDefault="00011388" w:rsidP="00A60310">
      <w:pPr>
        <w:pStyle w:val="DACParagraph"/>
        <w:numPr>
          <w:ilvl w:val="0"/>
          <w:numId w:val="32"/>
        </w:numPr>
        <w:spacing w:after="40"/>
        <w:rPr>
          <w:rFonts w:eastAsia="Georgia" w:cs="Georgia"/>
        </w:rPr>
      </w:pPr>
      <w:r w:rsidRPr="00BF1F54">
        <w:rPr>
          <w:rFonts w:eastAsia="Georgia" w:cs="Georgia"/>
        </w:rPr>
        <w:t xml:space="preserve">As part of its use of LexisNexis to verify user registration, </w:t>
      </w:r>
      <w:r w:rsidR="00A60310">
        <w:rPr>
          <w:rFonts w:eastAsia="Georgia" w:cs="Georgia"/>
        </w:rPr>
        <w:t xml:space="preserve">the </w:t>
      </w:r>
      <w:r w:rsidR="00A60310" w:rsidRPr="00A60310">
        <w:rPr>
          <w:rFonts w:eastAsia="Georgia" w:cs="Georgia"/>
        </w:rPr>
        <w:t>TRS</w:t>
      </w:r>
      <w:r w:rsidR="00777F96">
        <w:rPr>
          <w:rFonts w:eastAsia="Georgia" w:cs="Georgia"/>
        </w:rPr>
        <w:t>-</w:t>
      </w:r>
      <w:r w:rsidR="00A60310" w:rsidRPr="00A60310">
        <w:rPr>
          <w:rFonts w:eastAsia="Georgia" w:cs="Georgia"/>
        </w:rPr>
        <w:t xml:space="preserve">URD </w:t>
      </w:r>
      <w:r w:rsidR="00A82B0E">
        <w:rPr>
          <w:rFonts w:eastAsia="Georgia" w:cs="Georgia"/>
        </w:rPr>
        <w:t>A</w:t>
      </w:r>
      <w:r w:rsidR="00A60310" w:rsidRPr="00A60310">
        <w:rPr>
          <w:rFonts w:eastAsia="Georgia" w:cs="Georgia"/>
        </w:rPr>
        <w:t>dministrator</w:t>
      </w:r>
      <w:r w:rsidRPr="00BF1F54">
        <w:rPr>
          <w:rFonts w:eastAsia="Georgia" w:cs="Georgia"/>
        </w:rPr>
        <w:t xml:space="preserve"> shares significant quantities of user information with LexisNexis. It is unclear the extent to which LexisNexis retains or makes subsequent use of </w:t>
      </w:r>
      <w:r w:rsidR="00BF1F54" w:rsidRPr="00BF1F54">
        <w:rPr>
          <w:rFonts w:eastAsia="Georgia" w:cs="Georgia"/>
        </w:rPr>
        <w:t>user information, what consequences, such as the modification of user credit scores, could result from the use of that information, and what safeguards are in place</w:t>
      </w:r>
      <w:r w:rsidR="00994B96">
        <w:rPr>
          <w:rFonts w:eastAsia="Georgia" w:cs="Georgia"/>
        </w:rPr>
        <w:t>, including in any governing data transfer agreements,</w:t>
      </w:r>
      <w:r w:rsidR="00BF1F54" w:rsidRPr="00BF1F54">
        <w:rPr>
          <w:rFonts w:eastAsia="Georgia" w:cs="Georgia"/>
        </w:rPr>
        <w:t xml:space="preserve"> to ensure that LexisNexis does not retain or use user information for purposes unrelated to identity verification.</w:t>
      </w:r>
    </w:p>
    <w:p w14:paraId="1E57527F" w14:textId="4622A0FB" w:rsidR="008D46D6" w:rsidRPr="00483771" w:rsidRDefault="00BF1F54" w:rsidP="00B35305">
      <w:pPr>
        <w:pStyle w:val="DACParagraph"/>
        <w:numPr>
          <w:ilvl w:val="0"/>
          <w:numId w:val="32"/>
        </w:numPr>
        <w:spacing w:after="40"/>
        <w:rPr>
          <w:rFonts w:eastAsia="Georgia" w:cs="Georgia"/>
        </w:rPr>
      </w:pPr>
      <w:r w:rsidRPr="00483771">
        <w:rPr>
          <w:rFonts w:eastAsia="Georgia" w:cs="Georgia"/>
        </w:rPr>
        <w:t xml:space="preserve">The Commission’s rules currently require </w:t>
      </w:r>
      <w:r w:rsidR="00483771" w:rsidRPr="00483771">
        <w:rPr>
          <w:rFonts w:eastAsia="Georgia" w:cs="Georgia"/>
        </w:rPr>
        <w:t xml:space="preserve">users </w:t>
      </w:r>
      <w:r w:rsidRPr="00483771">
        <w:rPr>
          <w:rFonts w:eastAsia="Georgia" w:cs="Georgia"/>
        </w:rPr>
        <w:t xml:space="preserve">to sign a “consent” form that </w:t>
      </w:r>
      <w:r w:rsidR="00483771" w:rsidRPr="00483771">
        <w:rPr>
          <w:rFonts w:eastAsia="Georgia" w:cs="Georgia"/>
        </w:rPr>
        <w:t>requires them to assent to the sharing of their personal information as a take-it-or-leave-it condition of receiving service and affords users no meaningful opportunity to provide informed, meaningful consent to the use of their data.</w:t>
      </w:r>
    </w:p>
    <w:p w14:paraId="598F0845" w14:textId="58E6B9A8" w:rsidR="00B35305" w:rsidRDefault="0005760D" w:rsidP="00483771">
      <w:pPr>
        <w:pStyle w:val="DACParagraph"/>
        <w:spacing w:after="40"/>
      </w:pPr>
      <w:r>
        <w:rPr>
          <w:b/>
          <w:bCs w:val="0"/>
        </w:rPr>
        <w:t xml:space="preserve">Registration-Related </w:t>
      </w:r>
      <w:r w:rsidRPr="00C13731">
        <w:rPr>
          <w:b/>
          <w:bCs w:val="0"/>
        </w:rPr>
        <w:t>Costs</w:t>
      </w:r>
      <w:r w:rsidR="00483771">
        <w:rPr>
          <w:b/>
          <w:bCs w:val="0"/>
        </w:rPr>
        <w:t xml:space="preserve">. </w:t>
      </w:r>
      <w:r w:rsidR="005F508C">
        <w:t>Third</w:t>
      </w:r>
      <w:r w:rsidR="00B35305" w:rsidRPr="00B35305">
        <w:t xml:space="preserve">, </w:t>
      </w:r>
      <w:r w:rsidR="007A749D">
        <w:t>Providers</w:t>
      </w:r>
      <w:r w:rsidR="00B35305">
        <w:t xml:space="preserve"> have incurred significant costs in the implementation of the VRS URD. </w:t>
      </w:r>
      <w:r w:rsidR="00A35735">
        <w:t xml:space="preserve">Collectively, </w:t>
      </w:r>
      <w:r w:rsidR="007A749D">
        <w:t>Providers</w:t>
      </w:r>
      <w:r w:rsidR="00B35305">
        <w:t xml:space="preserve"> have spent millions of dollars in </w:t>
      </w:r>
      <w:r w:rsidR="00C3580F">
        <w:t>engineering</w:t>
      </w:r>
      <w:r w:rsidR="00B35305">
        <w:t xml:space="preserve">, database administration, and outreach, including multiple truck rolls to users’ homes </w:t>
      </w:r>
      <w:r w:rsidR="00A35735">
        <w:t xml:space="preserve">to obtain supporting documentation. </w:t>
      </w:r>
      <w:r w:rsidR="00931032">
        <w:t>T</w:t>
      </w:r>
      <w:r w:rsidR="00B35305">
        <w:t>hese costs remain ongoing</w:t>
      </w:r>
      <w:r w:rsidR="00931032">
        <w:t xml:space="preserve"> as new users are added </w:t>
      </w:r>
      <w:r w:rsidR="000029AE">
        <w:t xml:space="preserve">to the URD </w:t>
      </w:r>
      <w:r w:rsidR="00931032">
        <w:t xml:space="preserve">and when users port </w:t>
      </w:r>
      <w:r w:rsidR="005F508C">
        <w:t xml:space="preserve">their VRS service from one </w:t>
      </w:r>
      <w:r w:rsidR="007A749D">
        <w:t>Provider</w:t>
      </w:r>
      <w:r w:rsidR="005F508C">
        <w:t xml:space="preserve"> to another</w:t>
      </w:r>
      <w:r w:rsidR="00931032">
        <w:t>.</w:t>
      </w:r>
      <w:r>
        <w:t xml:space="preserve"> </w:t>
      </w:r>
    </w:p>
    <w:p w14:paraId="57B53616" w14:textId="5F9A965C" w:rsidR="00A35735" w:rsidRPr="00B35305" w:rsidRDefault="006432F0" w:rsidP="006432F0">
      <w:pPr>
        <w:pStyle w:val="DACParagraph"/>
        <w:ind w:firstLine="0"/>
        <w:jc w:val="center"/>
      </w:pPr>
      <w:r>
        <w:t>*</w:t>
      </w:r>
      <w:r>
        <w:tab/>
        <w:t>*</w:t>
      </w:r>
      <w:r>
        <w:tab/>
        <w:t>*</w:t>
      </w:r>
    </w:p>
    <w:p w14:paraId="60F28FFB" w14:textId="4F591907" w:rsidR="0005760D" w:rsidRDefault="00766D19" w:rsidP="00B35305">
      <w:pPr>
        <w:pStyle w:val="DACParagraph"/>
        <w:spacing w:after="40"/>
        <w:rPr>
          <w:rFonts w:eastAsia="Georgia" w:cs="Georgia"/>
        </w:rPr>
      </w:pPr>
      <w:r w:rsidRPr="00766D19">
        <w:rPr>
          <w:rFonts w:eastAsia="Georgia" w:cs="Georgia"/>
        </w:rPr>
        <w:t xml:space="preserve">The </w:t>
      </w:r>
      <w:r w:rsidR="002B22D8">
        <w:rPr>
          <w:rFonts w:eastAsia="Georgia" w:cs="Georgia"/>
        </w:rPr>
        <w:t xml:space="preserve">Working Group </w:t>
      </w:r>
      <w:r>
        <w:rPr>
          <w:rFonts w:eastAsia="Georgia" w:cs="Georgia"/>
        </w:rPr>
        <w:t xml:space="preserve">expects that most of these issues with the VRS URD will not only persist but manifest in new ways in the context of IP CTS. </w:t>
      </w:r>
      <w:r w:rsidR="00FB4792">
        <w:rPr>
          <w:rFonts w:eastAsia="Georgia" w:cs="Georgia"/>
        </w:rPr>
        <w:t xml:space="preserve">IP CTS user </w:t>
      </w:r>
      <w:r>
        <w:rPr>
          <w:rFonts w:eastAsia="Georgia" w:cs="Georgia"/>
        </w:rPr>
        <w:t>demographic</w:t>
      </w:r>
      <w:r w:rsidR="00FB4792">
        <w:rPr>
          <w:rFonts w:eastAsia="Georgia" w:cs="Georgia"/>
        </w:rPr>
        <w:t xml:space="preserve">s include a large segment of </w:t>
      </w:r>
      <w:r w:rsidR="005F508C">
        <w:rPr>
          <w:rFonts w:eastAsia="Georgia" w:cs="Georgia"/>
        </w:rPr>
        <w:t>older</w:t>
      </w:r>
      <w:r w:rsidR="00FB4792">
        <w:rPr>
          <w:rFonts w:eastAsia="Georgia" w:cs="Georgia"/>
        </w:rPr>
        <w:t xml:space="preserve"> </w:t>
      </w:r>
      <w:r w:rsidR="006432F0">
        <w:rPr>
          <w:rFonts w:eastAsia="Georgia" w:cs="Georgia"/>
        </w:rPr>
        <w:t>users</w:t>
      </w:r>
      <w:r w:rsidR="00FB4792">
        <w:rPr>
          <w:rFonts w:eastAsia="Georgia" w:cs="Georgia"/>
        </w:rPr>
        <w:t xml:space="preserve">, which </w:t>
      </w:r>
      <w:r w:rsidR="006432F0">
        <w:rPr>
          <w:rFonts w:eastAsia="Georgia" w:cs="Georgia"/>
        </w:rPr>
        <w:t xml:space="preserve">likely means that more users will face </w:t>
      </w:r>
      <w:r w:rsidRPr="00766D19">
        <w:rPr>
          <w:rFonts w:eastAsia="Georgia" w:cs="Georgia"/>
        </w:rPr>
        <w:t xml:space="preserve">difficulty in navigating complex and confusing registration and appeals processes. </w:t>
      </w:r>
      <w:r w:rsidR="006432F0">
        <w:rPr>
          <w:rFonts w:eastAsia="Georgia" w:cs="Georgia"/>
        </w:rPr>
        <w:t>Older users</w:t>
      </w:r>
      <w:r w:rsidR="00FB4792">
        <w:rPr>
          <w:rFonts w:eastAsia="Georgia" w:cs="Georgia"/>
        </w:rPr>
        <w:t xml:space="preserve"> are often warned not to give out personal identifying information about themselves and will be leery of being asked to do so.</w:t>
      </w:r>
      <w:r w:rsidR="0005760D">
        <w:rPr>
          <w:rFonts w:eastAsia="Georgia" w:cs="Georgia"/>
        </w:rPr>
        <w:t xml:space="preserve"> Moreover, the majority of IP CTS </w:t>
      </w:r>
      <w:r w:rsidR="007A749D">
        <w:rPr>
          <w:rFonts w:eastAsia="Georgia" w:cs="Georgia"/>
        </w:rPr>
        <w:t>is</w:t>
      </w:r>
      <w:r w:rsidR="0005760D">
        <w:rPr>
          <w:rFonts w:eastAsia="Georgia" w:cs="Georgia"/>
        </w:rPr>
        <w:t xml:space="preserve"> on wired lines; </w:t>
      </w:r>
      <w:r w:rsidR="006432F0">
        <w:rPr>
          <w:rFonts w:eastAsia="Georgia" w:cs="Georgia"/>
        </w:rPr>
        <w:t xml:space="preserve">older users may </w:t>
      </w:r>
      <w:r w:rsidR="0005760D">
        <w:rPr>
          <w:rFonts w:eastAsia="Georgia" w:cs="Georgia"/>
        </w:rPr>
        <w:t xml:space="preserve">be less tech-savvy and may not understand what is required of them. They </w:t>
      </w:r>
      <w:r w:rsidR="006432F0">
        <w:rPr>
          <w:rFonts w:eastAsia="Georgia" w:cs="Georgia"/>
        </w:rPr>
        <w:t xml:space="preserve">may </w:t>
      </w:r>
      <w:r w:rsidR="0005760D">
        <w:rPr>
          <w:rFonts w:eastAsia="Georgia" w:cs="Georgia"/>
        </w:rPr>
        <w:t xml:space="preserve">be </w:t>
      </w:r>
      <w:r w:rsidR="006432F0">
        <w:rPr>
          <w:rFonts w:eastAsia="Georgia" w:cs="Georgia"/>
        </w:rPr>
        <w:t xml:space="preserve">less able or unable </w:t>
      </w:r>
      <w:r w:rsidR="0005760D">
        <w:rPr>
          <w:rFonts w:eastAsia="Georgia" w:cs="Georgia"/>
        </w:rPr>
        <w:t xml:space="preserve">to </w:t>
      </w:r>
      <w:r w:rsidR="007A749D">
        <w:rPr>
          <w:rFonts w:eastAsia="Georgia" w:cs="Georgia"/>
        </w:rPr>
        <w:t>communicate with Providers about the requirements</w:t>
      </w:r>
      <w:r w:rsidR="0005760D">
        <w:rPr>
          <w:rFonts w:eastAsia="Georgia" w:cs="Georgia"/>
        </w:rPr>
        <w:t xml:space="preserve"> via phone calls until they obtain the </w:t>
      </w:r>
      <w:r w:rsidR="005F5002">
        <w:rPr>
          <w:rFonts w:eastAsia="Georgia" w:cs="Georgia"/>
        </w:rPr>
        <w:t>service and</w:t>
      </w:r>
      <w:r w:rsidR="0005760D">
        <w:rPr>
          <w:rFonts w:eastAsia="Georgia" w:cs="Georgia"/>
        </w:rPr>
        <w:t xml:space="preserve"> may not be savvy enough to use alternative methods such as email, text messaging, or live</w:t>
      </w:r>
      <w:r w:rsidR="00C0424D">
        <w:rPr>
          <w:rFonts w:eastAsia="Georgia" w:cs="Georgia"/>
        </w:rPr>
        <w:t xml:space="preserve"> Internet-based</w:t>
      </w:r>
      <w:r w:rsidR="0005760D">
        <w:rPr>
          <w:rFonts w:eastAsia="Georgia" w:cs="Georgia"/>
        </w:rPr>
        <w:t xml:space="preserve"> chat</w:t>
      </w:r>
      <w:r w:rsidR="00C0424D">
        <w:rPr>
          <w:rFonts w:eastAsia="Georgia" w:cs="Georgia"/>
        </w:rPr>
        <w:t xml:space="preserve"> functionality</w:t>
      </w:r>
      <w:r w:rsidR="0005760D">
        <w:rPr>
          <w:rFonts w:eastAsia="Georgia" w:cs="Georgia"/>
        </w:rPr>
        <w:t xml:space="preserve"> </w:t>
      </w:r>
      <w:r w:rsidR="00C0424D">
        <w:rPr>
          <w:rFonts w:eastAsia="Georgia" w:cs="Georgia"/>
        </w:rPr>
        <w:t>in the absence of phone service</w:t>
      </w:r>
      <w:r w:rsidR="0005760D">
        <w:rPr>
          <w:rFonts w:eastAsia="Georgia" w:cs="Georgia"/>
        </w:rPr>
        <w:t xml:space="preserve">. This leaves them more vulnerable to registration failures and may </w:t>
      </w:r>
      <w:r w:rsidR="00C0424D">
        <w:rPr>
          <w:rFonts w:eastAsia="Georgia" w:cs="Georgia"/>
        </w:rPr>
        <w:t xml:space="preserve">lead them to </w:t>
      </w:r>
      <w:r w:rsidR="0005760D">
        <w:rPr>
          <w:rFonts w:eastAsia="Georgia" w:cs="Georgia"/>
        </w:rPr>
        <w:t>feel more frustrated than other users. As a result, they may give up at higher rates than VRS users and find themselves left without access to service.</w:t>
      </w:r>
    </w:p>
    <w:p w14:paraId="369D5AF2" w14:textId="08CC36E4" w:rsidR="00766D19" w:rsidRPr="00CE3725" w:rsidRDefault="007346D2" w:rsidP="00B35305">
      <w:pPr>
        <w:pStyle w:val="DACParagraph"/>
        <w:spacing w:after="40"/>
        <w:rPr>
          <w:rFonts w:eastAsia="Georgia" w:cs="Georgia"/>
        </w:rPr>
      </w:pPr>
      <w:r w:rsidRPr="00CE3725">
        <w:rPr>
          <w:rFonts w:eastAsia="Georgia" w:cs="Georgia"/>
        </w:rPr>
        <w:t>As a result, it is critical that the Commission address these issues</w:t>
      </w:r>
      <w:r w:rsidR="00CE3725" w:rsidRPr="00CE3725">
        <w:rPr>
          <w:rFonts w:eastAsia="Georgia" w:cs="Georgia"/>
        </w:rPr>
        <w:t xml:space="preserve"> </w:t>
      </w:r>
      <w:r w:rsidRPr="00CE3725">
        <w:rPr>
          <w:rFonts w:eastAsia="Georgia" w:cs="Georgia"/>
        </w:rPr>
        <w:t>to ensure an approach that balances the Commission’s goals of preventing waste, fraud, and abuse</w:t>
      </w:r>
      <w:r w:rsidR="00CE3725" w:rsidRPr="00CE3725">
        <w:rPr>
          <w:rFonts w:eastAsia="Georgia" w:cs="Georgia"/>
        </w:rPr>
        <w:t xml:space="preserve"> with the potential unintended consequences of </w:t>
      </w:r>
      <w:r w:rsidR="00C0424D">
        <w:rPr>
          <w:rFonts w:eastAsia="Georgia" w:cs="Georgia"/>
        </w:rPr>
        <w:t xml:space="preserve">imposing </w:t>
      </w:r>
      <w:r w:rsidR="00CE3725" w:rsidRPr="00CE3725">
        <w:rPr>
          <w:rFonts w:eastAsia="Georgia" w:cs="Georgia"/>
        </w:rPr>
        <w:t>the</w:t>
      </w:r>
      <w:r w:rsidR="007A749D">
        <w:rPr>
          <w:rFonts w:eastAsia="Georgia" w:cs="Georgia"/>
        </w:rPr>
        <w:t xml:space="preserve"> IP CTS</w:t>
      </w:r>
      <w:r w:rsidR="00CE3725" w:rsidRPr="00CE3725">
        <w:rPr>
          <w:rFonts w:eastAsia="Georgia" w:cs="Georgia"/>
        </w:rPr>
        <w:t xml:space="preserve"> URD on </w:t>
      </w:r>
      <w:r w:rsidR="007A749D">
        <w:rPr>
          <w:rFonts w:eastAsia="Georgia" w:cs="Georgia"/>
        </w:rPr>
        <w:t>Providers</w:t>
      </w:r>
      <w:r w:rsidR="00CE3725" w:rsidRPr="00CE3725">
        <w:rPr>
          <w:rFonts w:eastAsia="Georgia" w:cs="Georgia"/>
        </w:rPr>
        <w:t xml:space="preserve"> and </w:t>
      </w:r>
      <w:r w:rsidR="002B22D8">
        <w:rPr>
          <w:rFonts w:eastAsia="Georgia" w:cs="Georgia"/>
        </w:rPr>
        <w:t xml:space="preserve">on </w:t>
      </w:r>
      <w:r w:rsidR="00CE3725" w:rsidRPr="00CE3725">
        <w:rPr>
          <w:rFonts w:eastAsia="Georgia" w:cs="Georgia"/>
        </w:rPr>
        <w:t xml:space="preserve">consumers who are deaf or hard of hearing. </w:t>
      </w:r>
      <w:r w:rsidR="00766D19" w:rsidRPr="00CE3725">
        <w:rPr>
          <w:rFonts w:eastAsia="Georgia" w:cs="Georgia"/>
        </w:rPr>
        <w:t xml:space="preserve">The Working Group acknowledges that </w:t>
      </w:r>
      <w:r w:rsidR="005A1C85" w:rsidRPr="00CE3725">
        <w:rPr>
          <w:rFonts w:eastAsia="Georgia" w:cs="Georgia"/>
        </w:rPr>
        <w:t xml:space="preserve">addressing some of these issues may be a simple matter of restructuring the Commission’s ongoing practices, while others may require additional rulemaking and the development of </w:t>
      </w:r>
      <w:r w:rsidR="000029AE">
        <w:rPr>
          <w:rFonts w:eastAsia="Georgia" w:cs="Georgia"/>
        </w:rPr>
        <w:t xml:space="preserve">an </w:t>
      </w:r>
      <w:r w:rsidR="005A1C85" w:rsidRPr="00CE3725">
        <w:rPr>
          <w:rFonts w:eastAsia="Georgia" w:cs="Georgia"/>
        </w:rPr>
        <w:t xml:space="preserve">additional record. Accordingly, the </w:t>
      </w:r>
      <w:r w:rsidR="005A1C85" w:rsidRPr="00CE3725">
        <w:rPr>
          <w:rFonts w:eastAsia="Georgia" w:cs="Georgia"/>
        </w:rPr>
        <w:lastRenderedPageBreak/>
        <w:t>recommendations that follow note where the Working Group believes further rulemaking may be required.</w:t>
      </w:r>
    </w:p>
    <w:p w14:paraId="38BFD1C1" w14:textId="6CBE97D3" w:rsidR="001E6407" w:rsidRDefault="001E6407" w:rsidP="001E6407">
      <w:pPr>
        <w:pStyle w:val="Heading1"/>
        <w:spacing w:before="240" w:after="180"/>
      </w:pPr>
      <w:r>
        <w:t>Recommendations</w:t>
      </w:r>
    </w:p>
    <w:p w14:paraId="74CADC26" w14:textId="3DBA2028" w:rsidR="00B865B2" w:rsidRDefault="00646976" w:rsidP="00C97EA7">
      <w:pPr>
        <w:pStyle w:val="DACParagraph"/>
        <w:rPr>
          <w:rFonts w:eastAsia="Georgia" w:cs="Georgia"/>
        </w:rPr>
      </w:pPr>
      <w:r>
        <w:t>NOW, THEREFORE, IT IS—</w:t>
      </w:r>
    </w:p>
    <w:p w14:paraId="18FF5BC5" w14:textId="5144E864" w:rsidR="00E67404" w:rsidRPr="000D677C" w:rsidRDefault="00E67404" w:rsidP="004F186B">
      <w:pPr>
        <w:pStyle w:val="ListParagraph"/>
        <w:numPr>
          <w:ilvl w:val="0"/>
          <w:numId w:val="4"/>
        </w:numPr>
        <w:spacing w:afterLines="80" w:after="192" w:line="300" w:lineRule="exact"/>
        <w:ind w:left="864" w:hanging="432"/>
        <w:rPr>
          <w:rFonts w:cs="Times New Roman"/>
          <w:color w:val="auto"/>
          <w:szCs w:val="22"/>
        </w:rPr>
      </w:pPr>
      <w:r>
        <w:rPr>
          <w:rFonts w:cs="Times New Roman"/>
          <w:color w:val="auto"/>
          <w:szCs w:val="22"/>
        </w:rPr>
        <w:t xml:space="preserve">RECOMMENDED that the Commission </w:t>
      </w:r>
      <w:r w:rsidR="00132ADA">
        <w:rPr>
          <w:rFonts w:cs="Times New Roman"/>
          <w:color w:val="auto"/>
          <w:szCs w:val="22"/>
        </w:rPr>
        <w:t>not issue the Public Notice indicating that the URD is ready to receive user registration information for IP CTS users until the Commission addresses the pending Further Notice of Proposed Rulemaking and conducts a further rulemaking proceeding on the recommendations that follow.</w:t>
      </w:r>
    </w:p>
    <w:p w14:paraId="305DFC00" w14:textId="15AC95E6" w:rsidR="00432995" w:rsidRPr="00995D61" w:rsidRDefault="00646976" w:rsidP="004F186B">
      <w:pPr>
        <w:pStyle w:val="ListParagraph"/>
        <w:numPr>
          <w:ilvl w:val="0"/>
          <w:numId w:val="4"/>
        </w:numPr>
        <w:spacing w:afterLines="80" w:after="192" w:line="300" w:lineRule="exact"/>
        <w:ind w:left="864" w:hanging="432"/>
        <w:rPr>
          <w:rFonts w:cs="Times New Roman"/>
          <w:color w:val="auto"/>
          <w:szCs w:val="22"/>
        </w:rPr>
      </w:pPr>
      <w:r w:rsidRPr="00C97EA7">
        <w:t xml:space="preserve">RECOMMENDED that the Commission </w:t>
      </w:r>
      <w:r w:rsidR="0082043D">
        <w:t xml:space="preserve">take necessary action to </w:t>
      </w:r>
      <w:r w:rsidR="00995D61">
        <w:t>limit the logistical burdens of the IP CTS URD</w:t>
      </w:r>
      <w:r w:rsidR="00B03960">
        <w:t>, including</w:t>
      </w:r>
      <w:r w:rsidR="00995D61">
        <w:t>:</w:t>
      </w:r>
    </w:p>
    <w:p w14:paraId="1C08B459" w14:textId="2A2898CC" w:rsidR="00995D61" w:rsidRDefault="001E6407" w:rsidP="004F186B">
      <w:pPr>
        <w:pStyle w:val="ListParagraph"/>
        <w:numPr>
          <w:ilvl w:val="1"/>
          <w:numId w:val="4"/>
        </w:numPr>
        <w:spacing w:afterLines="80" w:after="192" w:line="300" w:lineRule="exact"/>
        <w:ind w:left="1296" w:hanging="432"/>
        <w:rPr>
          <w:rFonts w:cs="Times New Roman"/>
          <w:color w:val="auto"/>
          <w:szCs w:val="22"/>
        </w:rPr>
      </w:pPr>
      <w:r>
        <w:rPr>
          <w:rFonts w:cs="Times New Roman"/>
          <w:color w:val="auto"/>
          <w:szCs w:val="22"/>
        </w:rPr>
        <w:t>Provide</w:t>
      </w:r>
      <w:r w:rsidR="00995D61" w:rsidRPr="00995D61">
        <w:rPr>
          <w:rFonts w:cs="Times New Roman"/>
          <w:color w:val="auto"/>
          <w:szCs w:val="22"/>
        </w:rPr>
        <w:t xml:space="preserve"> a </w:t>
      </w:r>
      <w:r w:rsidR="00995D61">
        <w:rPr>
          <w:rFonts w:cs="Times New Roman"/>
          <w:color w:val="auto"/>
          <w:szCs w:val="22"/>
        </w:rPr>
        <w:t xml:space="preserve">two-year </w:t>
      </w:r>
      <w:r>
        <w:rPr>
          <w:rFonts w:cs="Times New Roman"/>
          <w:color w:val="auto"/>
          <w:szCs w:val="22"/>
        </w:rPr>
        <w:t xml:space="preserve">data submission period </w:t>
      </w:r>
      <w:r w:rsidR="00995D61" w:rsidRPr="00995D61">
        <w:rPr>
          <w:rFonts w:cs="Times New Roman"/>
          <w:color w:val="auto"/>
          <w:szCs w:val="22"/>
        </w:rPr>
        <w:t xml:space="preserve">to register existing users after the </w:t>
      </w:r>
      <w:r>
        <w:rPr>
          <w:rFonts w:cs="Times New Roman"/>
          <w:color w:val="auto"/>
          <w:szCs w:val="22"/>
        </w:rPr>
        <w:t xml:space="preserve">IP CTS URD activation </w:t>
      </w:r>
      <w:r w:rsidR="00995D61" w:rsidRPr="00995D61">
        <w:rPr>
          <w:rFonts w:cs="Times New Roman"/>
          <w:color w:val="auto"/>
          <w:szCs w:val="22"/>
        </w:rPr>
        <w:t>date</w:t>
      </w:r>
      <w:r w:rsidR="00995D61">
        <w:rPr>
          <w:rFonts w:cs="Times New Roman"/>
          <w:color w:val="auto"/>
          <w:szCs w:val="22"/>
        </w:rPr>
        <w:t>;</w:t>
      </w:r>
    </w:p>
    <w:p w14:paraId="1186A039" w14:textId="3F0CC2C4" w:rsidR="007346D2" w:rsidRDefault="00B03960" w:rsidP="004F186B">
      <w:pPr>
        <w:pStyle w:val="ListParagraph"/>
        <w:numPr>
          <w:ilvl w:val="1"/>
          <w:numId w:val="4"/>
        </w:numPr>
        <w:spacing w:afterLines="80" w:after="192" w:line="300" w:lineRule="exact"/>
        <w:ind w:left="1296" w:hanging="432"/>
        <w:rPr>
          <w:rFonts w:cs="Times New Roman"/>
          <w:color w:val="auto"/>
          <w:szCs w:val="22"/>
        </w:rPr>
      </w:pPr>
      <w:r>
        <w:rPr>
          <w:rFonts w:cs="Times New Roman"/>
          <w:color w:val="auto"/>
          <w:szCs w:val="22"/>
        </w:rPr>
        <w:t xml:space="preserve">Conduct </w:t>
      </w:r>
      <w:r w:rsidR="007346D2">
        <w:rPr>
          <w:rFonts w:cs="Times New Roman"/>
          <w:color w:val="auto"/>
          <w:szCs w:val="22"/>
        </w:rPr>
        <w:t xml:space="preserve">a </w:t>
      </w:r>
      <w:r w:rsidR="001E6407">
        <w:rPr>
          <w:rFonts w:cs="Times New Roman"/>
          <w:color w:val="auto"/>
          <w:szCs w:val="22"/>
        </w:rPr>
        <w:t xml:space="preserve">clear and </w:t>
      </w:r>
      <w:r w:rsidR="001A234F">
        <w:rPr>
          <w:rFonts w:cs="Times New Roman"/>
          <w:color w:val="auto"/>
          <w:szCs w:val="22"/>
        </w:rPr>
        <w:t>straightforward outreach</w:t>
      </w:r>
      <w:r w:rsidR="007346D2">
        <w:rPr>
          <w:rFonts w:cs="Times New Roman"/>
          <w:color w:val="auto"/>
          <w:szCs w:val="22"/>
        </w:rPr>
        <w:t xml:space="preserve"> and education campaign to inform </w:t>
      </w:r>
      <w:r w:rsidR="008957DF">
        <w:rPr>
          <w:rFonts w:cs="Times New Roman"/>
          <w:color w:val="auto"/>
          <w:szCs w:val="22"/>
        </w:rPr>
        <w:t xml:space="preserve">consumers </w:t>
      </w:r>
      <w:r w:rsidR="007346D2">
        <w:rPr>
          <w:rFonts w:cs="Times New Roman"/>
          <w:color w:val="auto"/>
          <w:szCs w:val="22"/>
        </w:rPr>
        <w:t xml:space="preserve">about the IP CTS URD process and </w:t>
      </w:r>
      <w:r w:rsidR="000C3048">
        <w:rPr>
          <w:rFonts w:cs="Times New Roman"/>
          <w:color w:val="auto"/>
          <w:szCs w:val="22"/>
        </w:rPr>
        <w:t>requirements to use the service</w:t>
      </w:r>
      <w:r w:rsidR="00C265A5">
        <w:rPr>
          <w:rFonts w:cs="Times New Roman"/>
          <w:color w:val="auto"/>
          <w:szCs w:val="22"/>
        </w:rPr>
        <w:t>;</w:t>
      </w:r>
    </w:p>
    <w:p w14:paraId="04C088D6" w14:textId="5EE58BCE" w:rsidR="003E0656" w:rsidRDefault="00E44F1C" w:rsidP="004F186B">
      <w:pPr>
        <w:pStyle w:val="ListParagraph"/>
        <w:numPr>
          <w:ilvl w:val="1"/>
          <w:numId w:val="4"/>
        </w:numPr>
        <w:spacing w:afterLines="80" w:after="192" w:line="300" w:lineRule="exact"/>
        <w:ind w:left="1296" w:hanging="432"/>
        <w:rPr>
          <w:rFonts w:cs="Times New Roman"/>
          <w:color w:val="auto"/>
          <w:szCs w:val="22"/>
        </w:rPr>
      </w:pPr>
      <w:r>
        <w:rPr>
          <w:rFonts w:cs="Times New Roman"/>
          <w:color w:val="auto"/>
          <w:szCs w:val="22"/>
        </w:rPr>
        <w:t>Facilitat</w:t>
      </w:r>
      <w:r w:rsidR="00B03960">
        <w:rPr>
          <w:rFonts w:cs="Times New Roman"/>
          <w:color w:val="auto"/>
          <w:szCs w:val="22"/>
        </w:rPr>
        <w:t>e</w:t>
      </w:r>
      <w:r>
        <w:rPr>
          <w:rFonts w:cs="Times New Roman"/>
          <w:color w:val="auto"/>
          <w:szCs w:val="22"/>
        </w:rPr>
        <w:t xml:space="preserve"> lifetime registration for users</w:t>
      </w:r>
      <w:r w:rsidR="001E0FE2">
        <w:rPr>
          <w:rFonts w:cs="Times New Roman"/>
          <w:color w:val="auto"/>
          <w:szCs w:val="22"/>
        </w:rPr>
        <w:t xml:space="preserve"> by</w:t>
      </w:r>
      <w:r>
        <w:rPr>
          <w:rFonts w:cs="Times New Roman"/>
          <w:color w:val="auto"/>
          <w:szCs w:val="22"/>
        </w:rPr>
        <w:t xml:space="preserve"> ensuring that users need not re</w:t>
      </w:r>
      <w:r w:rsidR="0005760D">
        <w:rPr>
          <w:rFonts w:cs="Times New Roman"/>
          <w:color w:val="auto"/>
          <w:szCs w:val="22"/>
        </w:rPr>
        <w:t>-</w:t>
      </w:r>
      <w:r>
        <w:rPr>
          <w:rFonts w:cs="Times New Roman"/>
          <w:color w:val="auto"/>
          <w:szCs w:val="22"/>
        </w:rPr>
        <w:t xml:space="preserve">register when porting to a different </w:t>
      </w:r>
      <w:r w:rsidR="008957DF">
        <w:rPr>
          <w:rFonts w:cs="Times New Roman"/>
          <w:color w:val="auto"/>
          <w:szCs w:val="22"/>
        </w:rPr>
        <w:t xml:space="preserve">Provider </w:t>
      </w:r>
      <w:r>
        <w:rPr>
          <w:rFonts w:cs="Times New Roman"/>
          <w:color w:val="auto"/>
          <w:szCs w:val="22"/>
        </w:rPr>
        <w:t xml:space="preserve">or being assigned a subsequent </w:t>
      </w:r>
      <w:r w:rsidR="00712797">
        <w:rPr>
          <w:rFonts w:cs="Times New Roman"/>
          <w:color w:val="auto"/>
          <w:szCs w:val="22"/>
        </w:rPr>
        <w:t>Ten Digit Number</w:t>
      </w:r>
      <w:r w:rsidR="002C4F55">
        <w:rPr>
          <w:rFonts w:cs="Times New Roman"/>
          <w:color w:val="auto"/>
          <w:szCs w:val="22"/>
        </w:rPr>
        <w:t>, including</w:t>
      </w:r>
      <w:r w:rsidR="00A70548">
        <w:rPr>
          <w:rFonts w:cs="Times New Roman"/>
          <w:color w:val="auto"/>
          <w:szCs w:val="22"/>
        </w:rPr>
        <w:t>;</w:t>
      </w:r>
    </w:p>
    <w:p w14:paraId="1AED32DA" w14:textId="6F1F233D" w:rsidR="00E44F1C" w:rsidRDefault="003E0656" w:rsidP="003E0656">
      <w:pPr>
        <w:pStyle w:val="ListParagraph"/>
        <w:numPr>
          <w:ilvl w:val="2"/>
          <w:numId w:val="4"/>
        </w:numPr>
        <w:spacing w:afterLines="80" w:after="192" w:line="300" w:lineRule="exact"/>
        <w:rPr>
          <w:rFonts w:cs="Times New Roman"/>
          <w:color w:val="auto"/>
          <w:szCs w:val="22"/>
        </w:rPr>
      </w:pPr>
      <w:r>
        <w:rPr>
          <w:rFonts w:cs="Times New Roman"/>
          <w:color w:val="auto"/>
          <w:szCs w:val="22"/>
        </w:rPr>
        <w:t xml:space="preserve">Give </w:t>
      </w:r>
      <w:r w:rsidR="005B6CB5">
        <w:rPr>
          <w:rFonts w:cs="Times New Roman"/>
          <w:color w:val="auto"/>
          <w:szCs w:val="22"/>
        </w:rPr>
        <w:t>P</w:t>
      </w:r>
      <w:r>
        <w:rPr>
          <w:rFonts w:cs="Times New Roman"/>
          <w:color w:val="auto"/>
          <w:szCs w:val="22"/>
        </w:rPr>
        <w:t>roviders a mechanism to determine whether a user is already registered and rely upon the existing registration to satisfy URD requirements</w:t>
      </w:r>
      <w:r w:rsidR="002C4F55">
        <w:rPr>
          <w:rFonts w:cs="Times New Roman"/>
          <w:color w:val="auto"/>
          <w:szCs w:val="22"/>
        </w:rPr>
        <w:t>; and</w:t>
      </w:r>
    </w:p>
    <w:p w14:paraId="64971CC0" w14:textId="1897D2E6" w:rsidR="00BB0282" w:rsidRDefault="001E04C0" w:rsidP="000D677C">
      <w:pPr>
        <w:pStyle w:val="ListParagraph"/>
        <w:numPr>
          <w:ilvl w:val="2"/>
          <w:numId w:val="4"/>
        </w:numPr>
        <w:spacing w:afterLines="80" w:after="192" w:line="300" w:lineRule="exact"/>
        <w:rPr>
          <w:rFonts w:cs="Times New Roman"/>
          <w:color w:val="auto"/>
          <w:szCs w:val="22"/>
        </w:rPr>
      </w:pPr>
      <w:r w:rsidRPr="001E04C0">
        <w:t xml:space="preserve"> </w:t>
      </w:r>
      <w:r w:rsidRPr="001E04C0">
        <w:rPr>
          <w:sz w:val="22"/>
          <w:szCs w:val="22"/>
        </w:rPr>
        <w:t>Once a customer is registered within the TRS URD, require the TRS URD Administrator to maintain the customer’s URD account for a period of time that matches the current customer account record keeping requirements Providers are expected to follow</w:t>
      </w:r>
      <w:r w:rsidR="00A864DF" w:rsidRPr="00A864DF">
        <w:rPr>
          <w:sz w:val="22"/>
          <w:szCs w:val="22"/>
        </w:rPr>
        <w:t>.</w:t>
      </w:r>
    </w:p>
    <w:p w14:paraId="297F9029" w14:textId="1898A4AE" w:rsidR="00A70548" w:rsidRPr="00A70548" w:rsidRDefault="00334CA2" w:rsidP="004F186B">
      <w:pPr>
        <w:pStyle w:val="ListParagraph"/>
        <w:numPr>
          <w:ilvl w:val="1"/>
          <w:numId w:val="4"/>
        </w:numPr>
        <w:spacing w:afterLines="80" w:after="192" w:line="300" w:lineRule="exact"/>
        <w:ind w:left="1296" w:hanging="432"/>
        <w:rPr>
          <w:szCs w:val="22"/>
        </w:rPr>
      </w:pPr>
      <w:r>
        <w:rPr>
          <w:szCs w:val="22"/>
        </w:rPr>
        <w:t>Through a rulemaking procedure, the Commission should determine what shall be consider</w:t>
      </w:r>
      <w:r w:rsidR="00526699">
        <w:rPr>
          <w:szCs w:val="22"/>
        </w:rPr>
        <w:t>ed</w:t>
      </w:r>
      <w:r>
        <w:rPr>
          <w:szCs w:val="22"/>
        </w:rPr>
        <w:t xml:space="preserve"> valid documentation, for example:</w:t>
      </w:r>
    </w:p>
    <w:p w14:paraId="2012A1C5" w14:textId="6AEF0316" w:rsidR="00A70548" w:rsidRDefault="00A70548" w:rsidP="00C265A5">
      <w:pPr>
        <w:pStyle w:val="ListParagraph"/>
        <w:numPr>
          <w:ilvl w:val="2"/>
          <w:numId w:val="4"/>
        </w:numPr>
        <w:spacing w:afterLines="80" w:after="192" w:line="300" w:lineRule="exact"/>
        <w:ind w:left="1728" w:hanging="432"/>
        <w:rPr>
          <w:szCs w:val="22"/>
        </w:rPr>
      </w:pPr>
      <w:r w:rsidRPr="00A70548">
        <w:rPr>
          <w:szCs w:val="22"/>
        </w:rPr>
        <w:t>Allow</w:t>
      </w:r>
      <w:r>
        <w:rPr>
          <w:szCs w:val="22"/>
        </w:rPr>
        <w:t xml:space="preserve"> the use of</w:t>
      </w:r>
      <w:r w:rsidRPr="00A70548">
        <w:rPr>
          <w:szCs w:val="22"/>
        </w:rPr>
        <w:t xml:space="preserve"> expired identification documents (e.g., </w:t>
      </w:r>
      <w:r>
        <w:rPr>
          <w:szCs w:val="22"/>
        </w:rPr>
        <w:t>d</w:t>
      </w:r>
      <w:r w:rsidRPr="00A70548">
        <w:rPr>
          <w:szCs w:val="22"/>
        </w:rPr>
        <w:t xml:space="preserve">river’s </w:t>
      </w:r>
      <w:r>
        <w:rPr>
          <w:szCs w:val="22"/>
        </w:rPr>
        <w:t>l</w:t>
      </w:r>
      <w:r w:rsidRPr="00A70548">
        <w:rPr>
          <w:szCs w:val="22"/>
        </w:rPr>
        <w:t xml:space="preserve">icense, </w:t>
      </w:r>
      <w:r>
        <w:rPr>
          <w:szCs w:val="22"/>
        </w:rPr>
        <w:t>p</w:t>
      </w:r>
      <w:r w:rsidRPr="00A70548">
        <w:rPr>
          <w:szCs w:val="22"/>
        </w:rPr>
        <w:t xml:space="preserve">assport, </w:t>
      </w:r>
      <w:r>
        <w:rPr>
          <w:szCs w:val="22"/>
        </w:rPr>
        <w:t>m</w:t>
      </w:r>
      <w:r w:rsidRPr="00A70548">
        <w:rPr>
          <w:szCs w:val="22"/>
        </w:rPr>
        <w:t xml:space="preserve">ilitary ID, </w:t>
      </w:r>
      <w:r w:rsidRPr="00A70548">
        <w:rPr>
          <w:rFonts w:hint="eastAsia"/>
          <w:szCs w:val="22"/>
        </w:rPr>
        <w:t>state</w:t>
      </w:r>
      <w:r w:rsidRPr="00A70548">
        <w:rPr>
          <w:rFonts w:hint="eastAsia"/>
          <w:szCs w:val="22"/>
        </w:rPr>
        <w:t>‐</w:t>
      </w:r>
      <w:r w:rsidRPr="00A70548">
        <w:rPr>
          <w:rFonts w:hint="eastAsia"/>
          <w:szCs w:val="22"/>
        </w:rPr>
        <w:t>issued</w:t>
      </w:r>
      <w:r w:rsidRPr="00A70548">
        <w:rPr>
          <w:szCs w:val="22"/>
        </w:rPr>
        <w:t xml:space="preserve"> ID, etc.)</w:t>
      </w:r>
      <w:r w:rsidR="003D312F">
        <w:rPr>
          <w:szCs w:val="22"/>
        </w:rPr>
        <w:t>;</w:t>
      </w:r>
    </w:p>
    <w:p w14:paraId="4F4B3EE5" w14:textId="3B8147D9" w:rsidR="00A70548" w:rsidRDefault="00A70548" w:rsidP="00C265A5">
      <w:pPr>
        <w:pStyle w:val="ListParagraph"/>
        <w:numPr>
          <w:ilvl w:val="2"/>
          <w:numId w:val="4"/>
        </w:numPr>
        <w:spacing w:afterLines="80" w:after="192" w:line="300" w:lineRule="exact"/>
        <w:ind w:left="1728" w:hanging="432"/>
        <w:rPr>
          <w:szCs w:val="22"/>
        </w:rPr>
      </w:pPr>
      <w:r w:rsidRPr="00A70548">
        <w:rPr>
          <w:szCs w:val="22"/>
        </w:rPr>
        <w:t xml:space="preserve">Add additional documentation types </w:t>
      </w:r>
      <w:r w:rsidR="00294843">
        <w:rPr>
          <w:szCs w:val="22"/>
        </w:rPr>
        <w:t xml:space="preserve">that are acceptable </w:t>
      </w:r>
      <w:r w:rsidRPr="00A70548">
        <w:rPr>
          <w:szCs w:val="22"/>
        </w:rPr>
        <w:t>to clear failed risk codes</w:t>
      </w:r>
      <w:r w:rsidR="003D312F">
        <w:rPr>
          <w:szCs w:val="22"/>
        </w:rPr>
        <w:t>—</w:t>
      </w:r>
      <w:r w:rsidRPr="00A70548">
        <w:rPr>
          <w:szCs w:val="22"/>
        </w:rPr>
        <w:t>e.g., medical bills</w:t>
      </w:r>
      <w:r>
        <w:rPr>
          <w:szCs w:val="22"/>
        </w:rPr>
        <w:t>,</w:t>
      </w:r>
      <w:r w:rsidR="00C80963">
        <w:rPr>
          <w:szCs w:val="22"/>
        </w:rPr>
        <w:t xml:space="preserve"> rental agreements</w:t>
      </w:r>
      <w:r w:rsidR="003D312F">
        <w:rPr>
          <w:szCs w:val="22"/>
        </w:rPr>
        <w:t>; and</w:t>
      </w:r>
    </w:p>
    <w:p w14:paraId="70DE5D23" w14:textId="6293B796" w:rsidR="00A70548" w:rsidRPr="00A70548" w:rsidRDefault="00A70548" w:rsidP="00C265A5">
      <w:pPr>
        <w:pStyle w:val="ListParagraph"/>
        <w:numPr>
          <w:ilvl w:val="2"/>
          <w:numId w:val="4"/>
        </w:numPr>
        <w:spacing w:afterLines="80" w:after="192" w:line="300" w:lineRule="exact"/>
        <w:ind w:left="1728" w:hanging="432"/>
        <w:rPr>
          <w:szCs w:val="22"/>
        </w:rPr>
      </w:pPr>
      <w:r w:rsidRPr="00A70548">
        <w:rPr>
          <w:szCs w:val="22"/>
        </w:rPr>
        <w:t xml:space="preserve">Clarify </w:t>
      </w:r>
      <w:r w:rsidR="00274EFE">
        <w:rPr>
          <w:szCs w:val="22"/>
        </w:rPr>
        <w:t xml:space="preserve">the details of </w:t>
      </w:r>
      <w:r w:rsidRPr="00A70548">
        <w:rPr>
          <w:szCs w:val="22"/>
        </w:rPr>
        <w:t xml:space="preserve">specific </w:t>
      </w:r>
      <w:r w:rsidR="00274EFE">
        <w:rPr>
          <w:szCs w:val="22"/>
        </w:rPr>
        <w:t xml:space="preserve">acceptable </w:t>
      </w:r>
      <w:r w:rsidRPr="00A70548">
        <w:rPr>
          <w:szCs w:val="22"/>
        </w:rPr>
        <w:t>documentation types</w:t>
      </w:r>
      <w:r w:rsidR="003D312F">
        <w:rPr>
          <w:szCs w:val="22"/>
        </w:rPr>
        <w:t>—</w:t>
      </w:r>
      <w:r w:rsidRPr="00A70548">
        <w:rPr>
          <w:szCs w:val="22"/>
        </w:rPr>
        <w:t>e.g., what constitutes a “utility bill</w:t>
      </w:r>
      <w:r w:rsidR="00C51136" w:rsidRPr="00A70548">
        <w:rPr>
          <w:szCs w:val="22"/>
        </w:rPr>
        <w:t>;”</w:t>
      </w:r>
    </w:p>
    <w:p w14:paraId="0C6C8EF7" w14:textId="62E961E3" w:rsidR="00E44F1C" w:rsidRDefault="00E44F1C" w:rsidP="004F186B">
      <w:pPr>
        <w:pStyle w:val="ListParagraph"/>
        <w:numPr>
          <w:ilvl w:val="1"/>
          <w:numId w:val="4"/>
        </w:numPr>
        <w:spacing w:afterLines="80" w:after="192" w:line="300" w:lineRule="exact"/>
        <w:ind w:left="1296" w:hanging="432"/>
        <w:rPr>
          <w:rFonts w:cs="Times New Roman"/>
          <w:color w:val="auto"/>
          <w:szCs w:val="22"/>
        </w:rPr>
      </w:pPr>
      <w:r>
        <w:rPr>
          <w:rFonts w:cs="Times New Roman"/>
          <w:color w:val="auto"/>
          <w:szCs w:val="22"/>
        </w:rPr>
        <w:t>Requir</w:t>
      </w:r>
      <w:r w:rsidR="00B03960">
        <w:rPr>
          <w:rFonts w:cs="Times New Roman"/>
          <w:color w:val="auto"/>
          <w:szCs w:val="22"/>
        </w:rPr>
        <w:t>e</w:t>
      </w:r>
      <w:r>
        <w:rPr>
          <w:rFonts w:cs="Times New Roman"/>
          <w:color w:val="auto"/>
          <w:szCs w:val="22"/>
        </w:rPr>
        <w:t xml:space="preserve"> </w:t>
      </w:r>
      <w:bookmarkStart w:id="19" w:name="OLE_LINK3"/>
      <w:bookmarkStart w:id="20" w:name="OLE_LINK6"/>
      <w:r w:rsidR="007B3A72">
        <w:rPr>
          <w:rFonts w:cs="Times New Roman"/>
          <w:color w:val="auto"/>
          <w:szCs w:val="22"/>
        </w:rPr>
        <w:t xml:space="preserve">the </w:t>
      </w:r>
      <w:r w:rsidR="00712CB7">
        <w:rPr>
          <w:rFonts w:cs="Times New Roman"/>
          <w:color w:val="auto"/>
          <w:szCs w:val="22"/>
        </w:rPr>
        <w:t>TRS</w:t>
      </w:r>
      <w:r w:rsidR="00777F96">
        <w:rPr>
          <w:rFonts w:cs="Times New Roman"/>
          <w:color w:val="auto"/>
          <w:szCs w:val="22"/>
        </w:rPr>
        <w:t>-</w:t>
      </w:r>
      <w:r w:rsidR="00317EBF">
        <w:rPr>
          <w:rFonts w:cs="Times New Roman"/>
          <w:color w:val="auto"/>
          <w:szCs w:val="22"/>
        </w:rPr>
        <w:t>URD Administrator</w:t>
      </w:r>
      <w:bookmarkEnd w:id="19"/>
      <w:bookmarkEnd w:id="20"/>
      <w:r w:rsidR="00B55B3C">
        <w:rPr>
          <w:rFonts w:cs="Times New Roman"/>
          <w:color w:val="auto"/>
          <w:szCs w:val="22"/>
        </w:rPr>
        <w:t xml:space="preserve"> </w:t>
      </w:r>
      <w:r>
        <w:rPr>
          <w:rFonts w:cs="Times New Roman"/>
          <w:color w:val="auto"/>
          <w:szCs w:val="22"/>
        </w:rPr>
        <w:t>to:</w:t>
      </w:r>
    </w:p>
    <w:p w14:paraId="422E27CF" w14:textId="31A4ECFE" w:rsidR="00995D61" w:rsidRDefault="00DA3F68" w:rsidP="00C265A5">
      <w:pPr>
        <w:pStyle w:val="ListParagraph"/>
        <w:numPr>
          <w:ilvl w:val="2"/>
          <w:numId w:val="4"/>
        </w:numPr>
        <w:spacing w:afterLines="80" w:after="192" w:line="300" w:lineRule="exact"/>
        <w:ind w:left="1728" w:hanging="432"/>
        <w:rPr>
          <w:szCs w:val="22"/>
        </w:rPr>
      </w:pPr>
      <w:r>
        <w:rPr>
          <w:szCs w:val="22"/>
        </w:rPr>
        <w:lastRenderedPageBreak/>
        <w:t xml:space="preserve">Work with IP CTS providers, Consumer Groups, and the Commission to evaluate whether or not the use of LexisNexis’s </w:t>
      </w:r>
      <w:proofErr w:type="spellStart"/>
      <w:r>
        <w:rPr>
          <w:szCs w:val="22"/>
        </w:rPr>
        <w:t>InstantID</w:t>
      </w:r>
      <w:proofErr w:type="spellEnd"/>
      <w:r>
        <w:rPr>
          <w:szCs w:val="22"/>
        </w:rPr>
        <w:t xml:space="preserve"> Index score could be used to sufficiently and reasonably validate a user’s identity</w:t>
      </w:r>
      <w:r w:rsidR="00E44F1C">
        <w:rPr>
          <w:szCs w:val="22"/>
        </w:rPr>
        <w:t>;</w:t>
      </w:r>
    </w:p>
    <w:p w14:paraId="7914B913" w14:textId="36C96B4A" w:rsidR="00E44F1C" w:rsidRPr="00E44F1C" w:rsidRDefault="00E44F1C" w:rsidP="00C265A5">
      <w:pPr>
        <w:pStyle w:val="ListParagraph"/>
        <w:numPr>
          <w:ilvl w:val="2"/>
          <w:numId w:val="4"/>
        </w:numPr>
        <w:spacing w:afterLines="80" w:after="192" w:line="300" w:lineRule="exact"/>
        <w:ind w:left="1728" w:hanging="432"/>
        <w:rPr>
          <w:szCs w:val="22"/>
        </w:rPr>
      </w:pPr>
      <w:r>
        <w:rPr>
          <w:szCs w:val="22"/>
        </w:rPr>
        <w:t>P</w:t>
      </w:r>
      <w:r w:rsidRPr="00E44F1C">
        <w:rPr>
          <w:szCs w:val="22"/>
        </w:rPr>
        <w:t>rovide advance notice</w:t>
      </w:r>
      <w:r w:rsidR="00274EFE">
        <w:rPr>
          <w:szCs w:val="22"/>
        </w:rPr>
        <w:t xml:space="preserve"> to Providers</w:t>
      </w:r>
      <w:r w:rsidRPr="00E44F1C">
        <w:rPr>
          <w:szCs w:val="22"/>
        </w:rPr>
        <w:t xml:space="preserve"> of any planned LexisNexis maintenance outages to prevent problems with submissions</w:t>
      </w:r>
      <w:r>
        <w:rPr>
          <w:szCs w:val="22"/>
        </w:rPr>
        <w:t>;</w:t>
      </w:r>
      <w:r w:rsidR="00F427DB">
        <w:rPr>
          <w:szCs w:val="22"/>
        </w:rPr>
        <w:t xml:space="preserve"> and </w:t>
      </w:r>
    </w:p>
    <w:p w14:paraId="2350CD09" w14:textId="7A6B5777" w:rsidR="00E44F1C" w:rsidRPr="00995D61" w:rsidRDefault="00A70548" w:rsidP="00C265A5">
      <w:pPr>
        <w:pStyle w:val="ListParagraph"/>
        <w:numPr>
          <w:ilvl w:val="2"/>
          <w:numId w:val="4"/>
        </w:numPr>
        <w:spacing w:afterLines="80" w:after="192" w:line="300" w:lineRule="exact"/>
        <w:ind w:left="1728" w:hanging="432"/>
        <w:rPr>
          <w:szCs w:val="22"/>
        </w:rPr>
      </w:pPr>
      <w:r>
        <w:rPr>
          <w:szCs w:val="22"/>
        </w:rPr>
        <w:t>U</w:t>
      </w:r>
      <w:r w:rsidRPr="00A70548">
        <w:rPr>
          <w:szCs w:val="22"/>
        </w:rPr>
        <w:t xml:space="preserve">se </w:t>
      </w:r>
      <w:r w:rsidRPr="00A70548">
        <w:rPr>
          <w:rFonts w:hint="eastAsia"/>
          <w:szCs w:val="22"/>
        </w:rPr>
        <w:t>real</w:t>
      </w:r>
      <w:r w:rsidRPr="00A70548">
        <w:rPr>
          <w:rFonts w:hint="eastAsia"/>
          <w:szCs w:val="22"/>
        </w:rPr>
        <w:t>‐</w:t>
      </w:r>
      <w:r w:rsidRPr="00A70548">
        <w:rPr>
          <w:rFonts w:hint="eastAsia"/>
          <w:szCs w:val="22"/>
        </w:rPr>
        <w:t>time</w:t>
      </w:r>
      <w:r w:rsidRPr="00A70548">
        <w:rPr>
          <w:szCs w:val="22"/>
        </w:rPr>
        <w:t xml:space="preserve"> </w:t>
      </w:r>
      <w:r w:rsidR="00274EFE">
        <w:rPr>
          <w:szCs w:val="22"/>
        </w:rPr>
        <w:t>application programming interfaces (</w:t>
      </w:r>
      <w:r w:rsidRPr="00A70548">
        <w:rPr>
          <w:szCs w:val="22"/>
        </w:rPr>
        <w:t>APIs</w:t>
      </w:r>
      <w:r w:rsidR="00274EFE">
        <w:rPr>
          <w:szCs w:val="22"/>
        </w:rPr>
        <w:t>)</w:t>
      </w:r>
      <w:r w:rsidRPr="00A70548">
        <w:rPr>
          <w:szCs w:val="22"/>
        </w:rPr>
        <w:t xml:space="preserve"> for registration submissions</w:t>
      </w:r>
      <w:r w:rsidR="00F427DB" w:rsidRPr="00F427DB">
        <w:rPr>
          <w:szCs w:val="22"/>
        </w:rPr>
        <w:t xml:space="preserve"> </w:t>
      </w:r>
      <w:r w:rsidR="00F427DB">
        <w:rPr>
          <w:szCs w:val="22"/>
        </w:rPr>
        <w:t xml:space="preserve">and </w:t>
      </w:r>
      <w:r w:rsidR="00F427DB" w:rsidRPr="00E44F1C">
        <w:rPr>
          <w:szCs w:val="22"/>
        </w:rPr>
        <w:t>responses</w:t>
      </w:r>
      <w:r>
        <w:rPr>
          <w:szCs w:val="22"/>
        </w:rPr>
        <w:t>;</w:t>
      </w:r>
    </w:p>
    <w:p w14:paraId="33BB43C5" w14:textId="3C863A8D" w:rsidR="00A70548" w:rsidRPr="00570A40" w:rsidRDefault="00A70548" w:rsidP="004F186B">
      <w:pPr>
        <w:pStyle w:val="ListParagraph"/>
        <w:numPr>
          <w:ilvl w:val="1"/>
          <w:numId w:val="4"/>
        </w:numPr>
        <w:spacing w:afterLines="80" w:after="192" w:line="300" w:lineRule="exact"/>
        <w:ind w:left="1296" w:hanging="432"/>
        <w:rPr>
          <w:szCs w:val="22"/>
        </w:rPr>
      </w:pPr>
      <w:r w:rsidRPr="00570A40">
        <w:rPr>
          <w:szCs w:val="22"/>
        </w:rPr>
        <w:t xml:space="preserve">Allow compensation for </w:t>
      </w:r>
      <w:r w:rsidR="00274EFE">
        <w:rPr>
          <w:szCs w:val="22"/>
        </w:rPr>
        <w:t>minutes of use incurred by a</w:t>
      </w:r>
      <w:r w:rsidR="00EB793D">
        <w:rPr>
          <w:szCs w:val="22"/>
        </w:rPr>
        <w:t xml:space="preserve"> </w:t>
      </w:r>
      <w:r w:rsidRPr="00570A40">
        <w:rPr>
          <w:szCs w:val="22"/>
        </w:rPr>
        <w:t>user while a registration appeal is pending;</w:t>
      </w:r>
    </w:p>
    <w:p w14:paraId="516EA14C" w14:textId="146DD056" w:rsidR="00F427DB" w:rsidRDefault="00DD75E2" w:rsidP="004F186B">
      <w:pPr>
        <w:pStyle w:val="ListParagraph"/>
        <w:numPr>
          <w:ilvl w:val="1"/>
          <w:numId w:val="4"/>
        </w:numPr>
        <w:spacing w:afterLines="80" w:after="192" w:line="300" w:lineRule="exact"/>
        <w:ind w:left="1296" w:hanging="432"/>
        <w:rPr>
          <w:szCs w:val="22"/>
        </w:rPr>
      </w:pPr>
      <w:r>
        <w:rPr>
          <w:szCs w:val="22"/>
        </w:rPr>
        <w:t>Resolv</w:t>
      </w:r>
      <w:r w:rsidR="00B03960">
        <w:rPr>
          <w:szCs w:val="22"/>
        </w:rPr>
        <w:t>e</w:t>
      </w:r>
      <w:r>
        <w:rPr>
          <w:szCs w:val="22"/>
        </w:rPr>
        <w:t xml:space="preserve"> </w:t>
      </w:r>
      <w:r w:rsidR="00A70548">
        <w:rPr>
          <w:szCs w:val="22"/>
        </w:rPr>
        <w:t>all</w:t>
      </w:r>
      <w:r w:rsidR="00274EFE">
        <w:rPr>
          <w:szCs w:val="22"/>
        </w:rPr>
        <w:t xml:space="preserve"> user registration</w:t>
      </w:r>
      <w:r w:rsidR="00A70548">
        <w:rPr>
          <w:szCs w:val="22"/>
        </w:rPr>
        <w:t xml:space="preserve"> appeals </w:t>
      </w:r>
      <w:r w:rsidR="00A70548" w:rsidRPr="00A70548">
        <w:rPr>
          <w:szCs w:val="22"/>
        </w:rPr>
        <w:t>within 30 days</w:t>
      </w:r>
      <w:r w:rsidR="008D1FB1">
        <w:rPr>
          <w:szCs w:val="22"/>
        </w:rPr>
        <w:t xml:space="preserve"> of the initial submission of the appeal</w:t>
      </w:r>
      <w:r w:rsidR="00D75E1E">
        <w:rPr>
          <w:szCs w:val="22"/>
        </w:rPr>
        <w:t>;</w:t>
      </w:r>
      <w:r w:rsidR="00F427DB" w:rsidRPr="00F427DB">
        <w:rPr>
          <w:szCs w:val="22"/>
        </w:rPr>
        <w:t xml:space="preserve"> </w:t>
      </w:r>
    </w:p>
    <w:p w14:paraId="3223A28D" w14:textId="45643F38" w:rsidR="00A70548" w:rsidRDefault="00F427DB" w:rsidP="004F186B">
      <w:pPr>
        <w:pStyle w:val="ListParagraph"/>
        <w:numPr>
          <w:ilvl w:val="1"/>
          <w:numId w:val="4"/>
        </w:numPr>
        <w:spacing w:afterLines="80" w:after="192" w:line="300" w:lineRule="exact"/>
        <w:ind w:left="1296" w:hanging="432"/>
        <w:rPr>
          <w:szCs w:val="22"/>
        </w:rPr>
      </w:pPr>
      <w:r>
        <w:rPr>
          <w:szCs w:val="22"/>
        </w:rPr>
        <w:t xml:space="preserve">After the </w:t>
      </w:r>
      <w:r w:rsidR="00274EFE">
        <w:rPr>
          <w:szCs w:val="22"/>
        </w:rPr>
        <w:t>IP CTS URD activation date,</w:t>
      </w:r>
      <w:r>
        <w:rPr>
          <w:szCs w:val="22"/>
        </w:rPr>
        <w:t xml:space="preserve"> </w:t>
      </w:r>
      <w:r w:rsidR="000029AE">
        <w:rPr>
          <w:szCs w:val="22"/>
        </w:rPr>
        <w:t xml:space="preserve">permit </w:t>
      </w:r>
      <w:r w:rsidR="007A749D">
        <w:rPr>
          <w:szCs w:val="22"/>
        </w:rPr>
        <w:t>Providers</w:t>
      </w:r>
      <w:r>
        <w:rPr>
          <w:szCs w:val="22"/>
        </w:rPr>
        <w:t xml:space="preserve"> to provide service and be compensated for</w:t>
      </w:r>
      <w:r w:rsidR="00274EFE">
        <w:rPr>
          <w:szCs w:val="22"/>
        </w:rPr>
        <w:t xml:space="preserve"> minutes of use for</w:t>
      </w:r>
      <w:r>
        <w:rPr>
          <w:szCs w:val="22"/>
        </w:rPr>
        <w:t xml:space="preserve"> up to 30 days while new users are pending URD approval</w:t>
      </w:r>
      <w:r w:rsidR="00C51136">
        <w:rPr>
          <w:szCs w:val="22"/>
        </w:rPr>
        <w:t>;</w:t>
      </w:r>
      <w:r>
        <w:rPr>
          <w:szCs w:val="22"/>
        </w:rPr>
        <w:t xml:space="preserve"> </w:t>
      </w:r>
    </w:p>
    <w:p w14:paraId="4BE111AA" w14:textId="68DCF5DF" w:rsidR="002D588A" w:rsidRPr="002D588A" w:rsidRDefault="002D588A" w:rsidP="004F186B">
      <w:pPr>
        <w:pStyle w:val="ListParagraph"/>
        <w:numPr>
          <w:ilvl w:val="1"/>
          <w:numId w:val="4"/>
        </w:numPr>
        <w:spacing w:afterLines="80" w:after="192" w:line="300" w:lineRule="exact"/>
        <w:ind w:left="1296" w:hanging="432"/>
        <w:rPr>
          <w:szCs w:val="22"/>
        </w:rPr>
      </w:pPr>
      <w:bookmarkStart w:id="21" w:name="OLE_LINK40"/>
      <w:bookmarkStart w:id="22" w:name="OLE_LINK41"/>
      <w:r>
        <w:rPr>
          <w:szCs w:val="22"/>
        </w:rPr>
        <w:t>Remo</w:t>
      </w:r>
      <w:r w:rsidR="00AB28C1">
        <w:rPr>
          <w:szCs w:val="22"/>
        </w:rPr>
        <w:t>v</w:t>
      </w:r>
      <w:r w:rsidR="00B03960">
        <w:rPr>
          <w:szCs w:val="22"/>
        </w:rPr>
        <w:t>e</w:t>
      </w:r>
      <w:r>
        <w:rPr>
          <w:szCs w:val="22"/>
        </w:rPr>
        <w:t xml:space="preserve"> </w:t>
      </w:r>
      <w:r w:rsidRPr="002D588A">
        <w:rPr>
          <w:szCs w:val="22"/>
        </w:rPr>
        <w:t xml:space="preserve">obstacles to </w:t>
      </w:r>
      <w:r w:rsidR="00BD4E16">
        <w:rPr>
          <w:szCs w:val="22"/>
        </w:rPr>
        <w:t>a</w:t>
      </w:r>
      <w:r w:rsidRPr="002D588A">
        <w:rPr>
          <w:szCs w:val="22"/>
        </w:rPr>
        <w:t xml:space="preserve"> consumer’s ability to have an appropriate </w:t>
      </w:r>
      <w:r w:rsidR="006B6567">
        <w:rPr>
          <w:szCs w:val="22"/>
        </w:rPr>
        <w:t xml:space="preserve">IP CTS </w:t>
      </w:r>
      <w:r w:rsidRPr="002D588A">
        <w:rPr>
          <w:szCs w:val="22"/>
        </w:rPr>
        <w:t>device at each location where that user needs its use</w:t>
      </w:r>
      <w:r>
        <w:rPr>
          <w:szCs w:val="22"/>
        </w:rPr>
        <w:t xml:space="preserve"> by</w:t>
      </w:r>
      <w:r w:rsidR="00067EE5">
        <w:rPr>
          <w:szCs w:val="22"/>
        </w:rPr>
        <w:t>;</w:t>
      </w:r>
    </w:p>
    <w:p w14:paraId="13F30746" w14:textId="064AC361" w:rsidR="002D588A" w:rsidRPr="002D588A" w:rsidRDefault="002D588A" w:rsidP="00C265A5">
      <w:pPr>
        <w:pStyle w:val="ListParagraph"/>
        <w:numPr>
          <w:ilvl w:val="2"/>
          <w:numId w:val="4"/>
        </w:numPr>
        <w:spacing w:afterLines="80" w:after="192" w:line="300" w:lineRule="exact"/>
        <w:ind w:left="1728" w:hanging="432"/>
        <w:rPr>
          <w:szCs w:val="22"/>
        </w:rPr>
      </w:pPr>
      <w:r w:rsidRPr="002D588A">
        <w:rPr>
          <w:szCs w:val="22"/>
        </w:rPr>
        <w:t>Allow</w:t>
      </w:r>
      <w:r>
        <w:rPr>
          <w:szCs w:val="22"/>
        </w:rPr>
        <w:t>ing</w:t>
      </w:r>
      <w:r w:rsidR="000D2070">
        <w:rPr>
          <w:szCs w:val="22"/>
        </w:rPr>
        <w:t xml:space="preserve"> providers to install</w:t>
      </w:r>
      <w:r w:rsidRPr="002D588A">
        <w:rPr>
          <w:szCs w:val="22"/>
        </w:rPr>
        <w:t xml:space="preserve"> </w:t>
      </w:r>
      <w:r w:rsidR="006B6567">
        <w:rPr>
          <w:szCs w:val="22"/>
        </w:rPr>
        <w:t>IP CTS devices</w:t>
      </w:r>
      <w:r w:rsidRPr="002D588A">
        <w:rPr>
          <w:szCs w:val="22"/>
        </w:rPr>
        <w:t xml:space="preserve"> in transient or enterprise environment</w:t>
      </w:r>
      <w:r w:rsidR="000029AE">
        <w:rPr>
          <w:szCs w:val="22"/>
        </w:rPr>
        <w:t>s</w:t>
      </w:r>
      <w:r w:rsidRPr="002D588A">
        <w:rPr>
          <w:szCs w:val="22"/>
        </w:rPr>
        <w:t xml:space="preserve"> where more than one person with hearing loss who meets </w:t>
      </w:r>
      <w:r w:rsidR="000D2070">
        <w:rPr>
          <w:szCs w:val="22"/>
        </w:rPr>
        <w:t>the Commission’s</w:t>
      </w:r>
      <w:r w:rsidR="000D2070" w:rsidRPr="002D588A">
        <w:rPr>
          <w:szCs w:val="22"/>
        </w:rPr>
        <w:t xml:space="preserve"> </w:t>
      </w:r>
      <w:r w:rsidR="000D2070">
        <w:rPr>
          <w:szCs w:val="22"/>
        </w:rPr>
        <w:t>eligibility requirements for</w:t>
      </w:r>
      <w:r w:rsidRPr="002D588A">
        <w:rPr>
          <w:szCs w:val="22"/>
        </w:rPr>
        <w:t xml:space="preserve"> IP CTS and needs the use of an IP CTS device for accessible telecommunications</w:t>
      </w:r>
      <w:r w:rsidR="00C51136">
        <w:rPr>
          <w:szCs w:val="22"/>
        </w:rPr>
        <w:t>;</w:t>
      </w:r>
    </w:p>
    <w:p w14:paraId="6D6AD4C7" w14:textId="662B65EC" w:rsidR="002D588A" w:rsidRPr="002D588A" w:rsidRDefault="002D588A" w:rsidP="00C265A5">
      <w:pPr>
        <w:pStyle w:val="ListParagraph"/>
        <w:numPr>
          <w:ilvl w:val="2"/>
          <w:numId w:val="4"/>
        </w:numPr>
        <w:spacing w:afterLines="80" w:after="192" w:line="300" w:lineRule="exact"/>
        <w:ind w:left="1728" w:hanging="432"/>
        <w:rPr>
          <w:szCs w:val="22"/>
        </w:rPr>
      </w:pPr>
      <w:r w:rsidRPr="002D588A">
        <w:rPr>
          <w:szCs w:val="22"/>
        </w:rPr>
        <w:t>Allow</w:t>
      </w:r>
      <w:r>
        <w:rPr>
          <w:szCs w:val="22"/>
        </w:rPr>
        <w:t>ing</w:t>
      </w:r>
      <w:r w:rsidRPr="002D588A">
        <w:rPr>
          <w:szCs w:val="22"/>
        </w:rPr>
        <w:t xml:space="preserve"> facilities with stable as well as transient populations to provide IP CTS phones to qualified people with hearing loss</w:t>
      </w:r>
      <w:r w:rsidR="00C51136">
        <w:rPr>
          <w:szCs w:val="22"/>
        </w:rPr>
        <w:t>;</w:t>
      </w:r>
    </w:p>
    <w:p w14:paraId="3671DA05" w14:textId="7FD16012" w:rsidR="002D588A" w:rsidRPr="002D588A" w:rsidRDefault="002D588A" w:rsidP="00C265A5">
      <w:pPr>
        <w:pStyle w:val="ListParagraph"/>
        <w:numPr>
          <w:ilvl w:val="2"/>
          <w:numId w:val="4"/>
        </w:numPr>
        <w:spacing w:afterLines="80" w:after="192" w:line="300" w:lineRule="exact"/>
        <w:ind w:left="1728" w:hanging="432"/>
        <w:rPr>
          <w:szCs w:val="22"/>
        </w:rPr>
      </w:pPr>
      <w:r w:rsidRPr="002D588A">
        <w:rPr>
          <w:szCs w:val="22"/>
        </w:rPr>
        <w:t>Establish</w:t>
      </w:r>
      <w:r>
        <w:rPr>
          <w:szCs w:val="22"/>
        </w:rPr>
        <w:t>ing</w:t>
      </w:r>
      <w:r w:rsidRPr="002D588A">
        <w:rPr>
          <w:szCs w:val="22"/>
        </w:rPr>
        <w:t xml:space="preserve"> guidelines and adopt</w:t>
      </w:r>
      <w:r w:rsidR="006B6567">
        <w:rPr>
          <w:szCs w:val="22"/>
        </w:rPr>
        <w:t>ing</w:t>
      </w:r>
      <w:r w:rsidRPr="002D588A">
        <w:rPr>
          <w:szCs w:val="22"/>
        </w:rPr>
        <w:t xml:space="preserve"> procedures to allow registration for “enterprise</w:t>
      </w:r>
      <w:r w:rsidR="00594295">
        <w:rPr>
          <w:szCs w:val="22"/>
        </w:rPr>
        <w:t>”</w:t>
      </w:r>
      <w:r w:rsidRPr="002D588A">
        <w:rPr>
          <w:szCs w:val="22"/>
        </w:rPr>
        <w:t xml:space="preserve"> </w:t>
      </w:r>
      <w:r w:rsidR="006B6567">
        <w:rPr>
          <w:szCs w:val="22"/>
        </w:rPr>
        <w:t xml:space="preserve">IP CTS </w:t>
      </w:r>
      <w:r w:rsidRPr="002D588A">
        <w:rPr>
          <w:szCs w:val="22"/>
        </w:rPr>
        <w:t>devices</w:t>
      </w:r>
      <w:r w:rsidR="00C51136">
        <w:rPr>
          <w:szCs w:val="22"/>
        </w:rPr>
        <w:t>;</w:t>
      </w:r>
    </w:p>
    <w:p w14:paraId="71390C12" w14:textId="074D52CE" w:rsidR="002D588A" w:rsidRDefault="002D588A" w:rsidP="00C265A5">
      <w:pPr>
        <w:pStyle w:val="ListParagraph"/>
        <w:numPr>
          <w:ilvl w:val="2"/>
          <w:numId w:val="4"/>
        </w:numPr>
        <w:spacing w:afterLines="80" w:after="192" w:line="300" w:lineRule="exact"/>
        <w:ind w:left="1728" w:hanging="432"/>
        <w:rPr>
          <w:szCs w:val="22"/>
        </w:rPr>
      </w:pPr>
      <w:r w:rsidRPr="002D588A">
        <w:rPr>
          <w:szCs w:val="22"/>
        </w:rPr>
        <w:t xml:space="preserve">Recognizing the </w:t>
      </w:r>
      <w:r w:rsidR="000029AE">
        <w:rPr>
          <w:szCs w:val="22"/>
        </w:rPr>
        <w:t>five</w:t>
      </w:r>
      <w:r w:rsidR="000029AE" w:rsidRPr="002D588A">
        <w:rPr>
          <w:szCs w:val="22"/>
        </w:rPr>
        <w:t xml:space="preserve"> </w:t>
      </w:r>
      <w:r w:rsidRPr="002D588A">
        <w:rPr>
          <w:szCs w:val="22"/>
        </w:rPr>
        <w:t>variables</w:t>
      </w:r>
      <w:r w:rsidR="00067EE5">
        <w:rPr>
          <w:szCs w:val="22"/>
        </w:rPr>
        <w:t xml:space="preserve"> (full legal name, address, date of birth, last 4 of social security number, phone number)</w:t>
      </w:r>
      <w:r w:rsidRPr="002D588A">
        <w:rPr>
          <w:szCs w:val="22"/>
        </w:rPr>
        <w:t xml:space="preserve"> required for registration, </w:t>
      </w:r>
      <w:r w:rsidR="0074098B">
        <w:rPr>
          <w:szCs w:val="22"/>
        </w:rPr>
        <w:t xml:space="preserve">when at least </w:t>
      </w:r>
      <w:r w:rsidR="000029AE">
        <w:rPr>
          <w:szCs w:val="22"/>
        </w:rPr>
        <w:t>one</w:t>
      </w:r>
      <w:r w:rsidR="000029AE" w:rsidRPr="002D588A">
        <w:rPr>
          <w:szCs w:val="22"/>
        </w:rPr>
        <w:t xml:space="preserve"> </w:t>
      </w:r>
      <w:r w:rsidRPr="002D588A">
        <w:rPr>
          <w:szCs w:val="22"/>
        </w:rPr>
        <w:t>item is unique</w:t>
      </w:r>
      <w:r w:rsidR="000029AE">
        <w:rPr>
          <w:szCs w:val="22"/>
        </w:rPr>
        <w:t>,</w:t>
      </w:r>
      <w:r w:rsidRPr="002D588A">
        <w:rPr>
          <w:szCs w:val="22"/>
        </w:rPr>
        <w:t xml:space="preserve"> </w:t>
      </w:r>
      <w:r w:rsidR="000029AE" w:rsidRPr="002D588A">
        <w:rPr>
          <w:szCs w:val="22"/>
        </w:rPr>
        <w:t>th</w:t>
      </w:r>
      <w:r w:rsidR="000029AE">
        <w:rPr>
          <w:szCs w:val="22"/>
        </w:rPr>
        <w:t>e submission</w:t>
      </w:r>
      <w:r w:rsidR="000029AE" w:rsidRPr="002D588A">
        <w:rPr>
          <w:szCs w:val="22"/>
        </w:rPr>
        <w:t xml:space="preserve"> </w:t>
      </w:r>
      <w:r w:rsidRPr="002D588A">
        <w:rPr>
          <w:szCs w:val="22"/>
        </w:rPr>
        <w:t>should be recognized as another user</w:t>
      </w:r>
      <w:r w:rsidR="00C51136">
        <w:rPr>
          <w:szCs w:val="22"/>
        </w:rPr>
        <w:t>;</w:t>
      </w:r>
    </w:p>
    <w:p w14:paraId="292135E2" w14:textId="395BFE36" w:rsidR="002D588A" w:rsidRPr="00EF41CF" w:rsidRDefault="00994B96" w:rsidP="00C265A5">
      <w:pPr>
        <w:pStyle w:val="ListParagraph"/>
        <w:numPr>
          <w:ilvl w:val="2"/>
          <w:numId w:val="4"/>
        </w:numPr>
        <w:spacing w:afterLines="80" w:after="192" w:line="300" w:lineRule="exact"/>
        <w:ind w:left="1728" w:hanging="432"/>
        <w:rPr>
          <w:szCs w:val="22"/>
        </w:rPr>
      </w:pPr>
      <w:r>
        <w:rPr>
          <w:szCs w:val="22"/>
        </w:rPr>
        <w:t>I</w:t>
      </w:r>
      <w:r w:rsidR="00EF41CF" w:rsidRPr="00EF41CF">
        <w:rPr>
          <w:szCs w:val="22"/>
        </w:rPr>
        <w:t xml:space="preserve">f </w:t>
      </w:r>
      <w:r w:rsidR="002D588A" w:rsidRPr="00EF41CF">
        <w:rPr>
          <w:szCs w:val="22"/>
        </w:rPr>
        <w:t xml:space="preserve">an individual has more than </w:t>
      </w:r>
      <w:r w:rsidR="000029AE">
        <w:rPr>
          <w:szCs w:val="22"/>
        </w:rPr>
        <w:t>one</w:t>
      </w:r>
      <w:r w:rsidR="000029AE" w:rsidRPr="00EF41CF">
        <w:rPr>
          <w:szCs w:val="22"/>
        </w:rPr>
        <w:t xml:space="preserve"> </w:t>
      </w:r>
      <w:r w:rsidR="002D588A" w:rsidRPr="00EF41CF">
        <w:rPr>
          <w:szCs w:val="22"/>
        </w:rPr>
        <w:t>electronic serial number (ESN) or IP CTS device</w:t>
      </w:r>
      <w:r>
        <w:rPr>
          <w:szCs w:val="22"/>
        </w:rPr>
        <w:t xml:space="preserve">, requiring that all </w:t>
      </w:r>
      <w:r w:rsidR="00A026E7">
        <w:rPr>
          <w:szCs w:val="22"/>
        </w:rPr>
        <w:t xml:space="preserve">ESNs and devices </w:t>
      </w:r>
      <w:r w:rsidR="002D588A" w:rsidRPr="00EF41CF">
        <w:rPr>
          <w:szCs w:val="22"/>
        </w:rPr>
        <w:t>be tied to the same user</w:t>
      </w:r>
      <w:r w:rsidR="00EF41CF" w:rsidRPr="00EF41CF">
        <w:rPr>
          <w:szCs w:val="22"/>
        </w:rPr>
        <w:t>;</w:t>
      </w:r>
    </w:p>
    <w:p w14:paraId="7A1CF99D" w14:textId="07D6E78C" w:rsidR="002D588A" w:rsidRPr="002D588A" w:rsidRDefault="00EF41CF" w:rsidP="00C265A5">
      <w:pPr>
        <w:pStyle w:val="ListParagraph"/>
        <w:numPr>
          <w:ilvl w:val="2"/>
          <w:numId w:val="4"/>
        </w:numPr>
        <w:spacing w:afterLines="80" w:after="192" w:line="300" w:lineRule="exact"/>
        <w:ind w:left="1728" w:hanging="432"/>
        <w:rPr>
          <w:szCs w:val="22"/>
        </w:rPr>
      </w:pPr>
      <w:r>
        <w:rPr>
          <w:szCs w:val="22"/>
        </w:rPr>
        <w:t xml:space="preserve">Allowing for the possibility that if </w:t>
      </w:r>
      <w:r w:rsidR="002D588A" w:rsidRPr="002D588A">
        <w:rPr>
          <w:szCs w:val="22"/>
        </w:rPr>
        <w:t xml:space="preserve">there are </w:t>
      </w:r>
      <w:r w:rsidR="000029AE">
        <w:rPr>
          <w:szCs w:val="22"/>
        </w:rPr>
        <w:t>two</w:t>
      </w:r>
      <w:r w:rsidR="000029AE" w:rsidRPr="002D588A">
        <w:rPr>
          <w:szCs w:val="22"/>
        </w:rPr>
        <w:t xml:space="preserve"> </w:t>
      </w:r>
      <w:r w:rsidR="002D588A" w:rsidRPr="002D588A">
        <w:rPr>
          <w:szCs w:val="22"/>
        </w:rPr>
        <w:t xml:space="preserve">certified users in one household, there may be </w:t>
      </w:r>
      <w:r w:rsidR="006B6567">
        <w:rPr>
          <w:szCs w:val="22"/>
        </w:rPr>
        <w:t>one</w:t>
      </w:r>
      <w:r w:rsidR="002D588A" w:rsidRPr="002D588A">
        <w:rPr>
          <w:szCs w:val="22"/>
        </w:rPr>
        <w:t xml:space="preserve"> ESN (or individual ID) tied to both users or there may be multiple </w:t>
      </w:r>
      <w:r w:rsidR="0002643C">
        <w:rPr>
          <w:szCs w:val="22"/>
        </w:rPr>
        <w:t xml:space="preserve">IP CTS </w:t>
      </w:r>
      <w:r w:rsidR="002D588A" w:rsidRPr="002D588A">
        <w:rPr>
          <w:szCs w:val="22"/>
        </w:rPr>
        <w:t>devices tied to one household</w:t>
      </w:r>
      <w:r w:rsidR="00C51136">
        <w:rPr>
          <w:szCs w:val="22"/>
        </w:rPr>
        <w:t>;</w:t>
      </w:r>
    </w:p>
    <w:p w14:paraId="6BA6A82F" w14:textId="7D360E2A" w:rsidR="002D588A" w:rsidRPr="002D588A" w:rsidRDefault="00A1196D" w:rsidP="00AB28C1">
      <w:pPr>
        <w:pStyle w:val="ListParagraph"/>
        <w:numPr>
          <w:ilvl w:val="2"/>
          <w:numId w:val="4"/>
        </w:numPr>
        <w:spacing w:afterLines="80" w:after="192" w:line="300" w:lineRule="exact"/>
        <w:ind w:left="1728" w:hanging="432"/>
        <w:rPr>
          <w:szCs w:val="22"/>
        </w:rPr>
      </w:pPr>
      <w:r>
        <w:rPr>
          <w:szCs w:val="22"/>
        </w:rPr>
        <w:lastRenderedPageBreak/>
        <w:t>Provid</w:t>
      </w:r>
      <w:r w:rsidR="00AB28C1">
        <w:rPr>
          <w:szCs w:val="22"/>
        </w:rPr>
        <w:t>ing</w:t>
      </w:r>
      <w:r>
        <w:rPr>
          <w:szCs w:val="22"/>
        </w:rPr>
        <w:t xml:space="preserve"> guidelines for </w:t>
      </w:r>
      <w:r w:rsidR="00EF41CF">
        <w:rPr>
          <w:szCs w:val="22"/>
        </w:rPr>
        <w:t xml:space="preserve">the certification process </w:t>
      </w:r>
      <w:r w:rsidR="002D588A" w:rsidRPr="002D588A">
        <w:rPr>
          <w:szCs w:val="22"/>
        </w:rPr>
        <w:t xml:space="preserve">for those with power of attorney </w:t>
      </w:r>
      <w:r w:rsidR="00594295">
        <w:rPr>
          <w:szCs w:val="22"/>
        </w:rPr>
        <w:t>or guardianship</w:t>
      </w:r>
      <w:r w:rsidR="008E7CD7">
        <w:rPr>
          <w:szCs w:val="22"/>
        </w:rPr>
        <w:t>,</w:t>
      </w:r>
      <w:r w:rsidR="00594295">
        <w:rPr>
          <w:szCs w:val="22"/>
        </w:rPr>
        <w:t xml:space="preserve"> </w:t>
      </w:r>
      <w:r w:rsidR="00EB793D">
        <w:rPr>
          <w:szCs w:val="22"/>
        </w:rPr>
        <w:t xml:space="preserve">or </w:t>
      </w:r>
      <w:r w:rsidR="008E7CD7">
        <w:rPr>
          <w:szCs w:val="22"/>
        </w:rPr>
        <w:t xml:space="preserve">for </w:t>
      </w:r>
      <w:r w:rsidR="00EB793D">
        <w:rPr>
          <w:szCs w:val="22"/>
        </w:rPr>
        <w:t>people under the age of 18</w:t>
      </w:r>
      <w:r w:rsidR="00C51136">
        <w:rPr>
          <w:szCs w:val="22"/>
        </w:rPr>
        <w:t>; and</w:t>
      </w:r>
    </w:p>
    <w:p w14:paraId="20FDBCE8" w14:textId="1DCA6EBA" w:rsidR="002D588A" w:rsidRDefault="00EF41CF" w:rsidP="00AB28C1">
      <w:pPr>
        <w:pStyle w:val="ListParagraph"/>
        <w:numPr>
          <w:ilvl w:val="2"/>
          <w:numId w:val="4"/>
        </w:numPr>
        <w:spacing w:afterLines="80" w:after="192" w:line="300" w:lineRule="exact"/>
        <w:ind w:left="1728" w:hanging="432"/>
        <w:rPr>
          <w:szCs w:val="22"/>
        </w:rPr>
      </w:pPr>
      <w:r w:rsidRPr="00EF41CF">
        <w:rPr>
          <w:szCs w:val="22"/>
        </w:rPr>
        <w:t>Allow</w:t>
      </w:r>
      <w:r w:rsidR="00AB28C1">
        <w:rPr>
          <w:szCs w:val="22"/>
        </w:rPr>
        <w:t>ing</w:t>
      </w:r>
      <w:r w:rsidRPr="00EF41CF">
        <w:rPr>
          <w:szCs w:val="22"/>
        </w:rPr>
        <w:t xml:space="preserve"> for scenarios such as </w:t>
      </w:r>
      <w:r w:rsidR="002D588A" w:rsidRPr="00EF41CF">
        <w:rPr>
          <w:szCs w:val="22"/>
        </w:rPr>
        <w:t xml:space="preserve">enterprise and transient environments </w:t>
      </w:r>
      <w:r w:rsidRPr="00EF41CF">
        <w:rPr>
          <w:szCs w:val="22"/>
        </w:rPr>
        <w:t xml:space="preserve">where </w:t>
      </w:r>
      <w:r w:rsidR="002D588A" w:rsidRPr="00EF41CF">
        <w:rPr>
          <w:szCs w:val="22"/>
        </w:rPr>
        <w:t xml:space="preserve">a user may give a different work/room phone extension for an inbound call but </w:t>
      </w:r>
      <w:r w:rsidR="004C075E">
        <w:rPr>
          <w:szCs w:val="22"/>
        </w:rPr>
        <w:t xml:space="preserve">outgoing calls may </w:t>
      </w:r>
      <w:r w:rsidR="002D588A" w:rsidRPr="00EF41CF">
        <w:rPr>
          <w:szCs w:val="22"/>
        </w:rPr>
        <w:t>go out under several possible “trunk lines</w:t>
      </w:r>
      <w:r w:rsidRPr="00EF41CF">
        <w:rPr>
          <w:szCs w:val="22"/>
        </w:rPr>
        <w:t>,</w:t>
      </w:r>
      <w:r w:rsidR="002D588A" w:rsidRPr="00EF41CF">
        <w:rPr>
          <w:szCs w:val="22"/>
        </w:rPr>
        <w:t>”</w:t>
      </w:r>
      <w:r w:rsidRPr="00EF41CF">
        <w:rPr>
          <w:szCs w:val="22"/>
        </w:rPr>
        <w:t xml:space="preserve"> and in those scenarios, o</w:t>
      </w:r>
      <w:r w:rsidR="002D588A" w:rsidRPr="00EF41CF">
        <w:rPr>
          <w:szCs w:val="22"/>
        </w:rPr>
        <w:t>nce registration i</w:t>
      </w:r>
      <w:r w:rsidR="008E7CD7">
        <w:rPr>
          <w:szCs w:val="22"/>
        </w:rPr>
        <w:t>s</w:t>
      </w:r>
      <w:r w:rsidR="002D588A" w:rsidRPr="00EF41CF">
        <w:rPr>
          <w:szCs w:val="22"/>
        </w:rPr>
        <w:t xml:space="preserve"> validated, </w:t>
      </w:r>
      <w:r w:rsidRPr="00EF41CF">
        <w:rPr>
          <w:szCs w:val="22"/>
        </w:rPr>
        <w:t>ensur</w:t>
      </w:r>
      <w:r w:rsidR="00EB793D">
        <w:rPr>
          <w:szCs w:val="22"/>
        </w:rPr>
        <w:t>e</w:t>
      </w:r>
      <w:r w:rsidRPr="00EF41CF">
        <w:rPr>
          <w:szCs w:val="22"/>
        </w:rPr>
        <w:t xml:space="preserve"> that </w:t>
      </w:r>
      <w:r w:rsidR="002D588A" w:rsidRPr="00EF41CF">
        <w:rPr>
          <w:szCs w:val="22"/>
        </w:rPr>
        <w:t>the URD approve</w:t>
      </w:r>
      <w:r w:rsidR="008E7CD7">
        <w:rPr>
          <w:szCs w:val="22"/>
        </w:rPr>
        <w:t>s</w:t>
      </w:r>
      <w:r w:rsidR="002D588A" w:rsidRPr="00EF41CF">
        <w:rPr>
          <w:szCs w:val="22"/>
        </w:rPr>
        <w:t xml:space="preserve"> the call by the individual ID or ESN</w:t>
      </w:r>
      <w:bookmarkEnd w:id="21"/>
      <w:bookmarkEnd w:id="22"/>
      <w:r w:rsidR="008F528F">
        <w:rPr>
          <w:szCs w:val="22"/>
        </w:rPr>
        <w:t>.</w:t>
      </w:r>
    </w:p>
    <w:p w14:paraId="035A3404" w14:textId="23741A30" w:rsidR="00A026E7" w:rsidRPr="00A026E7" w:rsidRDefault="00A026E7" w:rsidP="00274EFE">
      <w:pPr>
        <w:pStyle w:val="ListParagraph"/>
        <w:numPr>
          <w:ilvl w:val="2"/>
          <w:numId w:val="4"/>
        </w:numPr>
        <w:spacing w:afterLines="80" w:after="192" w:line="300" w:lineRule="exact"/>
        <w:ind w:left="1728" w:hanging="432"/>
        <w:rPr>
          <w:szCs w:val="22"/>
        </w:rPr>
      </w:pPr>
      <w:r w:rsidRPr="00A026E7">
        <w:rPr>
          <w:szCs w:val="22"/>
        </w:rPr>
        <w:t>Establishing a process to address minors becoming the age of majority, including allowing a grace period for minors to become fully compliant as if they were newly registered users.</w:t>
      </w:r>
    </w:p>
    <w:p w14:paraId="6FCBE37E" w14:textId="148E183A" w:rsidR="00995D61" w:rsidRDefault="00995D61" w:rsidP="004C075E">
      <w:pPr>
        <w:pStyle w:val="ListParagraph"/>
        <w:numPr>
          <w:ilvl w:val="0"/>
          <w:numId w:val="4"/>
        </w:numPr>
        <w:spacing w:afterLines="80" w:after="192" w:line="300" w:lineRule="exact"/>
        <w:ind w:left="864" w:hanging="432"/>
        <w:rPr>
          <w:rFonts w:cs="Times New Roman"/>
          <w:color w:val="auto"/>
          <w:szCs w:val="22"/>
        </w:rPr>
      </w:pPr>
      <w:r>
        <w:rPr>
          <w:rFonts w:cs="Times New Roman"/>
          <w:color w:val="auto"/>
          <w:szCs w:val="22"/>
        </w:rPr>
        <w:t xml:space="preserve">RECOMMENDED that the Commission </w:t>
      </w:r>
      <w:r w:rsidR="00ED6C4A">
        <w:rPr>
          <w:rFonts w:cs="Times New Roman"/>
          <w:color w:val="auto"/>
          <w:szCs w:val="22"/>
        </w:rPr>
        <w:t xml:space="preserve">take necessary action to </w:t>
      </w:r>
      <w:r>
        <w:rPr>
          <w:rFonts w:cs="Times New Roman"/>
          <w:color w:val="auto"/>
          <w:szCs w:val="22"/>
        </w:rPr>
        <w:t xml:space="preserve">limit harms to consumer privacy </w:t>
      </w:r>
      <w:r w:rsidR="00A70548">
        <w:rPr>
          <w:rFonts w:cs="Times New Roman"/>
          <w:color w:val="auto"/>
          <w:szCs w:val="22"/>
        </w:rPr>
        <w:t>resulting from the implementation of</w:t>
      </w:r>
      <w:r>
        <w:rPr>
          <w:rFonts w:cs="Times New Roman"/>
          <w:color w:val="auto"/>
          <w:szCs w:val="22"/>
        </w:rPr>
        <w:t xml:space="preserve"> the IP CTS URD</w:t>
      </w:r>
      <w:r w:rsidR="00ED6C4A">
        <w:rPr>
          <w:rFonts w:cs="Times New Roman"/>
          <w:color w:val="auto"/>
          <w:szCs w:val="22"/>
        </w:rPr>
        <w:t>, including</w:t>
      </w:r>
      <w:r>
        <w:rPr>
          <w:rFonts w:cs="Times New Roman"/>
          <w:color w:val="auto"/>
          <w:szCs w:val="22"/>
        </w:rPr>
        <w:t>:</w:t>
      </w:r>
    </w:p>
    <w:p w14:paraId="5A2F9C7F" w14:textId="2BFD168E" w:rsidR="00A70548" w:rsidRPr="002F0F7D" w:rsidRDefault="00ED6C4A" w:rsidP="004C075E">
      <w:pPr>
        <w:pStyle w:val="ListParagraph"/>
        <w:numPr>
          <w:ilvl w:val="1"/>
          <w:numId w:val="4"/>
        </w:numPr>
        <w:spacing w:afterLines="80" w:after="192" w:line="300" w:lineRule="exact"/>
        <w:ind w:left="1296" w:hanging="432"/>
        <w:rPr>
          <w:szCs w:val="22"/>
        </w:rPr>
      </w:pPr>
      <w:r>
        <w:rPr>
          <w:szCs w:val="22"/>
        </w:rPr>
        <w:t xml:space="preserve">Require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sidR="00A84874" w:rsidRPr="002F0F7D">
        <w:rPr>
          <w:szCs w:val="22"/>
        </w:rPr>
        <w:t>to:</w:t>
      </w:r>
    </w:p>
    <w:p w14:paraId="45B7A465" w14:textId="77777777" w:rsidR="00A84874" w:rsidRDefault="00A84874" w:rsidP="008E4680">
      <w:pPr>
        <w:pStyle w:val="ListParagraph"/>
        <w:numPr>
          <w:ilvl w:val="2"/>
          <w:numId w:val="4"/>
        </w:numPr>
        <w:spacing w:afterLines="80" w:after="192" w:line="300" w:lineRule="exact"/>
        <w:ind w:left="1728" w:hanging="432"/>
        <w:rPr>
          <w:szCs w:val="22"/>
        </w:rPr>
      </w:pPr>
      <w:r>
        <w:rPr>
          <w:szCs w:val="22"/>
        </w:rPr>
        <w:t>Establish internal policies and procedures that ensure data security;</w:t>
      </w:r>
    </w:p>
    <w:p w14:paraId="6248EE27" w14:textId="7CDCE28F" w:rsidR="00A84874" w:rsidRDefault="00F555E4" w:rsidP="008E4680">
      <w:pPr>
        <w:pStyle w:val="ListParagraph"/>
        <w:numPr>
          <w:ilvl w:val="2"/>
          <w:numId w:val="4"/>
        </w:numPr>
        <w:spacing w:afterLines="80" w:after="192" w:line="300" w:lineRule="exact"/>
        <w:ind w:left="1728" w:hanging="432"/>
        <w:rPr>
          <w:szCs w:val="22"/>
        </w:rPr>
      </w:pPr>
      <w:r>
        <w:rPr>
          <w:szCs w:val="22"/>
        </w:rPr>
        <w:t xml:space="preserve">Adopt a record retention schedule that causes the Commission, Providers, and the </w:t>
      </w:r>
      <w:r w:rsidR="002B13B5">
        <w:rPr>
          <w:szCs w:val="22"/>
        </w:rPr>
        <w:t>TRS</w:t>
      </w:r>
      <w:r w:rsidR="00777F96">
        <w:rPr>
          <w:szCs w:val="22"/>
        </w:rPr>
        <w:t>-</w:t>
      </w:r>
      <w:r>
        <w:rPr>
          <w:szCs w:val="22"/>
        </w:rPr>
        <w:t>URD Administrator to r</w:t>
      </w:r>
      <w:r w:rsidR="00A84874">
        <w:rPr>
          <w:szCs w:val="22"/>
        </w:rPr>
        <w:t>etain records only as long as necessary to fulfill the requirements of the URD</w:t>
      </w:r>
      <w:r>
        <w:rPr>
          <w:szCs w:val="22"/>
        </w:rPr>
        <w:t>,</w:t>
      </w:r>
      <w:r w:rsidR="00A84874">
        <w:rPr>
          <w:szCs w:val="22"/>
        </w:rPr>
        <w:t xml:space="preserve"> and destroy records immediately thereafter</w:t>
      </w:r>
      <w:r w:rsidR="00D75E1E">
        <w:rPr>
          <w:szCs w:val="22"/>
        </w:rPr>
        <w:t>;</w:t>
      </w:r>
    </w:p>
    <w:p w14:paraId="0F116F74" w14:textId="5EC800D4" w:rsidR="00A84874" w:rsidRDefault="00CA19E9" w:rsidP="008E4680">
      <w:pPr>
        <w:pStyle w:val="ListParagraph"/>
        <w:numPr>
          <w:ilvl w:val="2"/>
          <w:numId w:val="4"/>
        </w:numPr>
        <w:spacing w:afterLines="80" w:after="192" w:line="300" w:lineRule="exact"/>
        <w:ind w:left="1728" w:hanging="432"/>
        <w:rPr>
          <w:szCs w:val="22"/>
        </w:rPr>
      </w:pPr>
      <w:r>
        <w:rPr>
          <w:szCs w:val="22"/>
        </w:rPr>
        <w:t>U</w:t>
      </w:r>
      <w:r w:rsidR="00A84874">
        <w:rPr>
          <w:szCs w:val="22"/>
        </w:rPr>
        <w:t>pdate vendor agreements with any third parties</w:t>
      </w:r>
      <w:r w:rsidR="00AF025C">
        <w:rPr>
          <w:szCs w:val="22"/>
        </w:rPr>
        <w:t xml:space="preserve"> involved in the administration of the URD</w:t>
      </w:r>
      <w:r w:rsidR="00A84874">
        <w:rPr>
          <w:szCs w:val="22"/>
        </w:rPr>
        <w:t>, including LexisNexis, to:</w:t>
      </w:r>
    </w:p>
    <w:p w14:paraId="2AED80E5" w14:textId="566DC303" w:rsidR="00A84874" w:rsidRDefault="00A84874" w:rsidP="00ED6C4A">
      <w:pPr>
        <w:pStyle w:val="ListParagraph"/>
        <w:numPr>
          <w:ilvl w:val="3"/>
          <w:numId w:val="4"/>
        </w:numPr>
        <w:spacing w:afterLines="80" w:after="192" w:line="300" w:lineRule="exact"/>
        <w:ind w:left="2160" w:hanging="432"/>
        <w:rPr>
          <w:szCs w:val="22"/>
        </w:rPr>
      </w:pPr>
      <w:r>
        <w:rPr>
          <w:szCs w:val="22"/>
        </w:rPr>
        <w:t xml:space="preserve">Limit retention of data given to </w:t>
      </w:r>
      <w:r w:rsidR="0002643C">
        <w:rPr>
          <w:szCs w:val="22"/>
        </w:rPr>
        <w:t>vendors</w:t>
      </w:r>
      <w:r>
        <w:rPr>
          <w:szCs w:val="22"/>
        </w:rPr>
        <w:t xml:space="preserve"> by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Pr>
          <w:szCs w:val="22"/>
        </w:rPr>
        <w:t xml:space="preserve">to the time period necessary to fulfill their obligations </w:t>
      </w:r>
      <w:r w:rsidR="00D75E1E">
        <w:rPr>
          <w:szCs w:val="22"/>
        </w:rPr>
        <w:t>under the agreements</w:t>
      </w:r>
      <w:r>
        <w:rPr>
          <w:szCs w:val="22"/>
        </w:rPr>
        <w:t>;</w:t>
      </w:r>
    </w:p>
    <w:p w14:paraId="74769D2A" w14:textId="180624B9" w:rsidR="00A84874" w:rsidRDefault="00A84874" w:rsidP="00ED6C4A">
      <w:pPr>
        <w:pStyle w:val="ListParagraph"/>
        <w:numPr>
          <w:ilvl w:val="3"/>
          <w:numId w:val="4"/>
        </w:numPr>
        <w:spacing w:afterLines="80" w:after="192" w:line="300" w:lineRule="exact"/>
        <w:ind w:left="2160" w:hanging="432"/>
        <w:rPr>
          <w:szCs w:val="22"/>
        </w:rPr>
      </w:pPr>
      <w:r>
        <w:rPr>
          <w:szCs w:val="22"/>
        </w:rPr>
        <w:t xml:space="preserve">Prohibit the sale or commercial use of data given to </w:t>
      </w:r>
      <w:r w:rsidR="0002643C">
        <w:rPr>
          <w:szCs w:val="22"/>
        </w:rPr>
        <w:t xml:space="preserve">the vendor </w:t>
      </w:r>
      <w:r>
        <w:rPr>
          <w:szCs w:val="22"/>
        </w:rPr>
        <w:t xml:space="preserve">by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Pr>
          <w:szCs w:val="22"/>
        </w:rPr>
        <w:t>;</w:t>
      </w:r>
    </w:p>
    <w:p w14:paraId="05785B82" w14:textId="1B70EB3B" w:rsidR="00A84874" w:rsidRPr="00F840F1" w:rsidRDefault="00A84874" w:rsidP="00ED6C4A">
      <w:pPr>
        <w:pStyle w:val="ListParagraph"/>
        <w:numPr>
          <w:ilvl w:val="3"/>
          <w:numId w:val="4"/>
        </w:numPr>
        <w:spacing w:afterLines="80" w:after="192" w:line="300" w:lineRule="exact"/>
        <w:ind w:left="2160" w:hanging="432"/>
        <w:rPr>
          <w:szCs w:val="22"/>
        </w:rPr>
      </w:pPr>
      <w:r>
        <w:rPr>
          <w:szCs w:val="22"/>
        </w:rPr>
        <w:t xml:space="preserve">Prohibit any use of the data given to </w:t>
      </w:r>
      <w:r w:rsidR="0002643C">
        <w:rPr>
          <w:szCs w:val="22"/>
        </w:rPr>
        <w:t xml:space="preserve">the vendor </w:t>
      </w:r>
      <w:r>
        <w:rPr>
          <w:szCs w:val="22"/>
        </w:rPr>
        <w:t xml:space="preserve">by </w:t>
      </w:r>
      <w:bookmarkStart w:id="23" w:name="OLE_LINK16"/>
      <w:bookmarkStart w:id="24" w:name="OLE_LINK17"/>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Pr>
          <w:szCs w:val="22"/>
        </w:rPr>
        <w:t xml:space="preserve">beyond the narrow, specified purposes </w:t>
      </w:r>
      <w:r w:rsidR="00D75E1E">
        <w:rPr>
          <w:szCs w:val="22"/>
        </w:rPr>
        <w:t>i</w:t>
      </w:r>
      <w:r>
        <w:rPr>
          <w:szCs w:val="22"/>
        </w:rPr>
        <w:t>n</w:t>
      </w:r>
      <w:r w:rsidR="00D75E1E">
        <w:rPr>
          <w:szCs w:val="22"/>
        </w:rPr>
        <w:t xml:space="preserve"> the agreements</w:t>
      </w:r>
      <w:bookmarkEnd w:id="23"/>
      <w:bookmarkEnd w:id="24"/>
      <w:r>
        <w:rPr>
          <w:szCs w:val="22"/>
        </w:rPr>
        <w:t xml:space="preserve">; </w:t>
      </w:r>
      <w:r w:rsidR="00D75E1E">
        <w:rPr>
          <w:szCs w:val="22"/>
        </w:rPr>
        <w:t>and</w:t>
      </w:r>
      <w:r>
        <w:rPr>
          <w:szCs w:val="22"/>
        </w:rPr>
        <w:t xml:space="preserve"> </w:t>
      </w:r>
    </w:p>
    <w:p w14:paraId="755B3874" w14:textId="7EB15280" w:rsidR="00A84874" w:rsidRDefault="00A84874" w:rsidP="00ED6C4A">
      <w:pPr>
        <w:pStyle w:val="ListParagraph"/>
        <w:numPr>
          <w:ilvl w:val="3"/>
          <w:numId w:val="4"/>
        </w:numPr>
        <w:spacing w:afterLines="80" w:after="192" w:line="300" w:lineRule="exact"/>
        <w:ind w:left="2160" w:hanging="432"/>
        <w:rPr>
          <w:szCs w:val="22"/>
        </w:rPr>
      </w:pPr>
      <w:r>
        <w:rPr>
          <w:szCs w:val="22"/>
        </w:rPr>
        <w:t xml:space="preserve">Notify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Pr>
          <w:szCs w:val="22"/>
        </w:rPr>
        <w:t>and the Commission in the event of a breach within 30 days of discovery;</w:t>
      </w:r>
    </w:p>
    <w:p w14:paraId="799E2C9E" w14:textId="7743E5B8" w:rsidR="00D75E1E" w:rsidRDefault="00D75E1E" w:rsidP="00ED6C4A">
      <w:pPr>
        <w:pStyle w:val="ListParagraph"/>
        <w:numPr>
          <w:ilvl w:val="2"/>
          <w:numId w:val="4"/>
        </w:numPr>
        <w:spacing w:afterLines="80" w:after="192" w:line="300" w:lineRule="exact"/>
        <w:ind w:left="1728" w:hanging="432"/>
        <w:rPr>
          <w:szCs w:val="22"/>
        </w:rPr>
      </w:pPr>
      <w:r>
        <w:rPr>
          <w:szCs w:val="22"/>
        </w:rPr>
        <w:t>Designate an official agent to conduct internal audits and ensure internal compliance; and</w:t>
      </w:r>
    </w:p>
    <w:p w14:paraId="5F8E6C9C" w14:textId="4E976ED8" w:rsidR="00D75E1E" w:rsidRDefault="00D75E1E" w:rsidP="00ED6C4A">
      <w:pPr>
        <w:pStyle w:val="ListParagraph"/>
        <w:numPr>
          <w:ilvl w:val="2"/>
          <w:numId w:val="4"/>
        </w:numPr>
        <w:spacing w:afterLines="80" w:after="192" w:line="300" w:lineRule="exact"/>
        <w:ind w:left="1728" w:hanging="432"/>
        <w:rPr>
          <w:szCs w:val="22"/>
        </w:rPr>
      </w:pPr>
      <w:r>
        <w:rPr>
          <w:szCs w:val="22"/>
        </w:rPr>
        <w:lastRenderedPageBreak/>
        <w:t xml:space="preserve">Provide notice </w:t>
      </w:r>
      <w:r w:rsidR="00AF025C">
        <w:rPr>
          <w:szCs w:val="22"/>
        </w:rPr>
        <w:t xml:space="preserve">of data collection and use </w:t>
      </w:r>
      <w:r>
        <w:rPr>
          <w:szCs w:val="22"/>
        </w:rPr>
        <w:t>in clear, understandable language</w:t>
      </w:r>
      <w:r w:rsidR="00AF025C">
        <w:rPr>
          <w:szCs w:val="22"/>
        </w:rPr>
        <w:t xml:space="preserve"> to be passed by Providers to their customers</w:t>
      </w:r>
      <w:r>
        <w:rPr>
          <w:szCs w:val="22"/>
        </w:rPr>
        <w:t xml:space="preserve">; </w:t>
      </w:r>
    </w:p>
    <w:p w14:paraId="199DED7B" w14:textId="2A4640D4" w:rsidR="00B1531C" w:rsidRPr="00B1531C" w:rsidRDefault="00B1531C" w:rsidP="004C075E">
      <w:pPr>
        <w:pStyle w:val="ListParagraph"/>
        <w:numPr>
          <w:ilvl w:val="1"/>
          <w:numId w:val="4"/>
        </w:numPr>
        <w:spacing w:afterLines="80" w:after="192" w:line="300" w:lineRule="exact"/>
        <w:ind w:left="1296" w:hanging="432"/>
        <w:rPr>
          <w:szCs w:val="22"/>
        </w:rPr>
      </w:pPr>
      <w:r>
        <w:rPr>
          <w:szCs w:val="22"/>
        </w:rPr>
        <w:t>Ensur</w:t>
      </w:r>
      <w:r w:rsidR="00AF025C">
        <w:rPr>
          <w:szCs w:val="22"/>
        </w:rPr>
        <w:t>e</w:t>
      </w:r>
      <w:r>
        <w:rPr>
          <w:szCs w:val="22"/>
        </w:rPr>
        <w:t xml:space="preserve"> </w:t>
      </w:r>
      <w:r w:rsidRPr="00B1531C">
        <w:rPr>
          <w:szCs w:val="22"/>
        </w:rPr>
        <w:t xml:space="preserve">Privacy Act compliance by: </w:t>
      </w:r>
    </w:p>
    <w:p w14:paraId="5AAC57B5" w14:textId="48B318D4" w:rsidR="00B1531C" w:rsidRPr="00B1531C" w:rsidRDefault="00AF025C" w:rsidP="00ED6C4A">
      <w:pPr>
        <w:pStyle w:val="ListParagraph"/>
        <w:numPr>
          <w:ilvl w:val="2"/>
          <w:numId w:val="4"/>
        </w:numPr>
        <w:spacing w:afterLines="80" w:after="192" w:line="300" w:lineRule="exact"/>
        <w:ind w:left="1728" w:hanging="432"/>
        <w:rPr>
          <w:szCs w:val="22"/>
        </w:rPr>
      </w:pPr>
      <w:bookmarkStart w:id="25" w:name="OLE_LINK31"/>
      <w:bookmarkStart w:id="26" w:name="OLE_LINK32"/>
      <w:r>
        <w:rPr>
          <w:szCs w:val="22"/>
        </w:rPr>
        <w:t>A</w:t>
      </w:r>
      <w:r w:rsidR="00B1531C">
        <w:rPr>
          <w:szCs w:val="22"/>
        </w:rPr>
        <w:t xml:space="preserve">rticulating </w:t>
      </w:r>
      <w:r w:rsidR="00B1531C" w:rsidRPr="00B1531C">
        <w:rPr>
          <w:szCs w:val="22"/>
        </w:rPr>
        <w:t xml:space="preserve">requirements </w:t>
      </w:r>
      <w:r>
        <w:rPr>
          <w:szCs w:val="22"/>
        </w:rPr>
        <w:t>for</w:t>
      </w:r>
      <w:r w:rsidR="005F5002">
        <w:rPr>
          <w:szCs w:val="22"/>
        </w:rPr>
        <w:t xml:space="preserve"> </w:t>
      </w:r>
      <w:r w:rsidR="002D5427">
        <w:rPr>
          <w:szCs w:val="22"/>
        </w:rPr>
        <w:t xml:space="preserve">the TRS-URD </w:t>
      </w:r>
      <w:r w:rsidR="004B32E7">
        <w:rPr>
          <w:szCs w:val="22"/>
        </w:rPr>
        <w:t>Administrator</w:t>
      </w:r>
      <w:r w:rsidR="004B32E7" w:rsidRPr="00B1531C">
        <w:rPr>
          <w:szCs w:val="22"/>
        </w:rPr>
        <w:t>,</w:t>
      </w:r>
      <w:r w:rsidR="004B32E7">
        <w:rPr>
          <w:szCs w:val="22"/>
        </w:rPr>
        <w:t xml:space="preserve"> </w:t>
      </w:r>
      <w:r w:rsidR="00B1531C" w:rsidRPr="00B1531C">
        <w:rPr>
          <w:szCs w:val="22"/>
        </w:rPr>
        <w:t xml:space="preserve">identity verification agents and other third parties </w:t>
      </w:r>
      <w:r w:rsidR="004B32E7">
        <w:rPr>
          <w:szCs w:val="22"/>
        </w:rPr>
        <w:t>used by the TRS-URD Administrator in the administration and operation of the URD;</w:t>
      </w:r>
      <w:r w:rsidR="00B1531C" w:rsidRPr="00B1531C">
        <w:rPr>
          <w:szCs w:val="22"/>
        </w:rPr>
        <w:t xml:space="preserve"> </w:t>
      </w:r>
    </w:p>
    <w:p w14:paraId="20AD944C" w14:textId="53630EB2" w:rsidR="00B1531C" w:rsidRPr="00B1531C" w:rsidRDefault="00AF025C" w:rsidP="00ED6C4A">
      <w:pPr>
        <w:pStyle w:val="ListParagraph"/>
        <w:numPr>
          <w:ilvl w:val="2"/>
          <w:numId w:val="4"/>
        </w:numPr>
        <w:spacing w:afterLines="80" w:after="192" w:line="300" w:lineRule="exact"/>
        <w:ind w:left="1728" w:hanging="432"/>
        <w:rPr>
          <w:szCs w:val="22"/>
        </w:rPr>
      </w:pPr>
      <w:r>
        <w:rPr>
          <w:szCs w:val="22"/>
        </w:rPr>
        <w:t>A</w:t>
      </w:r>
      <w:r w:rsidR="00B1531C">
        <w:rPr>
          <w:szCs w:val="22"/>
        </w:rPr>
        <w:t>dopting procedures to ensure</w:t>
      </w:r>
      <w:r w:rsidR="00B1531C" w:rsidRPr="00B1531C">
        <w:rPr>
          <w:szCs w:val="22"/>
        </w:rPr>
        <w:t>:</w:t>
      </w:r>
    </w:p>
    <w:p w14:paraId="3E1EDD69" w14:textId="4E7F6F03"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I</w:t>
      </w:r>
      <w:r w:rsidRPr="00B1531C">
        <w:rPr>
          <w:szCs w:val="22"/>
        </w:rPr>
        <w:t>ndividuals’ access to records;</w:t>
      </w:r>
    </w:p>
    <w:p w14:paraId="4120C8A8" w14:textId="20D37C5E"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N</w:t>
      </w:r>
      <w:r w:rsidRPr="00B1531C">
        <w:rPr>
          <w:szCs w:val="22"/>
        </w:rPr>
        <w:t>otice</w:t>
      </w:r>
      <w:r>
        <w:rPr>
          <w:szCs w:val="22"/>
        </w:rPr>
        <w:t xml:space="preserve"> of collection and use</w:t>
      </w:r>
      <w:r w:rsidRPr="00B1531C">
        <w:rPr>
          <w:szCs w:val="22"/>
        </w:rPr>
        <w:t>;</w:t>
      </w:r>
    </w:p>
    <w:p w14:paraId="21BEA1C3" w14:textId="3C2CA752"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D</w:t>
      </w:r>
      <w:r w:rsidRPr="00B1531C">
        <w:rPr>
          <w:szCs w:val="22"/>
        </w:rPr>
        <w:t xml:space="preserve">isclosure of </w:t>
      </w:r>
      <w:r>
        <w:rPr>
          <w:szCs w:val="22"/>
        </w:rPr>
        <w:t xml:space="preserve">the </w:t>
      </w:r>
      <w:r w:rsidRPr="00B1531C">
        <w:rPr>
          <w:szCs w:val="22"/>
        </w:rPr>
        <w:t xml:space="preserve">purpose of </w:t>
      </w:r>
      <w:r w:rsidR="000029AE">
        <w:rPr>
          <w:szCs w:val="22"/>
        </w:rPr>
        <w:t xml:space="preserve">the </w:t>
      </w:r>
      <w:r w:rsidRPr="00B1531C">
        <w:rPr>
          <w:szCs w:val="22"/>
        </w:rPr>
        <w:t>collection;</w:t>
      </w:r>
    </w:p>
    <w:p w14:paraId="29506951" w14:textId="4DC85D37"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T</w:t>
      </w:r>
      <w:r w:rsidRPr="00B1531C">
        <w:rPr>
          <w:szCs w:val="22"/>
        </w:rPr>
        <w:t xml:space="preserve">he name and location of </w:t>
      </w:r>
      <w:r>
        <w:rPr>
          <w:szCs w:val="22"/>
        </w:rPr>
        <w:t xml:space="preserve">relevant </w:t>
      </w:r>
      <w:r w:rsidRPr="00B1531C">
        <w:rPr>
          <w:szCs w:val="22"/>
        </w:rPr>
        <w:t>system</w:t>
      </w:r>
      <w:r>
        <w:rPr>
          <w:szCs w:val="22"/>
        </w:rPr>
        <w:t>s being used</w:t>
      </w:r>
      <w:r w:rsidRPr="00B1531C">
        <w:rPr>
          <w:szCs w:val="22"/>
        </w:rPr>
        <w:t>;</w:t>
      </w:r>
    </w:p>
    <w:p w14:paraId="0CE51A1A" w14:textId="6FFA01A1"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C</w:t>
      </w:r>
      <w:r w:rsidRPr="00B1531C">
        <w:rPr>
          <w:szCs w:val="22"/>
        </w:rPr>
        <w:t xml:space="preserve">ategories of records in the </w:t>
      </w:r>
      <w:r>
        <w:rPr>
          <w:szCs w:val="22"/>
        </w:rPr>
        <w:t xml:space="preserve">relevant </w:t>
      </w:r>
      <w:r w:rsidRPr="00B1531C">
        <w:rPr>
          <w:szCs w:val="22"/>
        </w:rPr>
        <w:t>system</w:t>
      </w:r>
      <w:r>
        <w:rPr>
          <w:szCs w:val="22"/>
        </w:rPr>
        <w:t>s</w:t>
      </w:r>
      <w:r w:rsidRPr="00B1531C">
        <w:rPr>
          <w:szCs w:val="22"/>
        </w:rPr>
        <w:t>;</w:t>
      </w:r>
    </w:p>
    <w:p w14:paraId="4C270A79" w14:textId="7125A926"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S</w:t>
      </w:r>
      <w:r w:rsidRPr="00B1531C">
        <w:rPr>
          <w:szCs w:val="22"/>
        </w:rPr>
        <w:t>ecurity safeguards;</w:t>
      </w:r>
    </w:p>
    <w:p w14:paraId="10C9922F" w14:textId="50EAC373"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A</w:t>
      </w:r>
      <w:r w:rsidRPr="00B1531C">
        <w:rPr>
          <w:szCs w:val="22"/>
        </w:rPr>
        <w:t>mendment procedures;</w:t>
      </w:r>
      <w:r>
        <w:rPr>
          <w:szCs w:val="22"/>
        </w:rPr>
        <w:t xml:space="preserve"> and</w:t>
      </w:r>
    </w:p>
    <w:p w14:paraId="1FF9E0D4" w14:textId="504702BC" w:rsidR="00B1531C" w:rsidRPr="00B1531C" w:rsidRDefault="00B1531C" w:rsidP="00ED6C4A">
      <w:pPr>
        <w:pStyle w:val="ListParagraph"/>
        <w:numPr>
          <w:ilvl w:val="3"/>
          <w:numId w:val="4"/>
        </w:numPr>
        <w:spacing w:afterLines="80" w:after="192" w:line="300" w:lineRule="exact"/>
        <w:ind w:left="2160" w:hanging="432"/>
        <w:rPr>
          <w:szCs w:val="22"/>
        </w:rPr>
      </w:pPr>
      <w:r>
        <w:rPr>
          <w:szCs w:val="22"/>
        </w:rPr>
        <w:t xml:space="preserve">All </w:t>
      </w:r>
      <w:r w:rsidRPr="00B1531C">
        <w:rPr>
          <w:szCs w:val="22"/>
        </w:rPr>
        <w:t xml:space="preserve">other measures to comply with the Act. </w:t>
      </w:r>
      <w:bookmarkEnd w:id="25"/>
      <w:bookmarkEnd w:id="26"/>
    </w:p>
    <w:p w14:paraId="799F3841" w14:textId="39546562" w:rsidR="00A70548" w:rsidRPr="002F0F7D" w:rsidRDefault="00D75E1E" w:rsidP="004C075E">
      <w:pPr>
        <w:pStyle w:val="ListParagraph"/>
        <w:numPr>
          <w:ilvl w:val="1"/>
          <w:numId w:val="4"/>
        </w:numPr>
        <w:spacing w:afterLines="80" w:after="192" w:line="300" w:lineRule="exact"/>
        <w:ind w:left="1296" w:hanging="432"/>
        <w:rPr>
          <w:szCs w:val="22"/>
        </w:rPr>
      </w:pPr>
      <w:r>
        <w:rPr>
          <w:szCs w:val="22"/>
        </w:rPr>
        <w:t>Limit</w:t>
      </w:r>
      <w:r w:rsidR="00A70548" w:rsidRPr="002F0F7D">
        <w:rPr>
          <w:szCs w:val="22"/>
        </w:rPr>
        <w:t xml:space="preserve"> the period that </w:t>
      </w:r>
      <w:r w:rsidR="007A749D">
        <w:rPr>
          <w:szCs w:val="22"/>
        </w:rPr>
        <w:t>Providers</w:t>
      </w:r>
      <w:r w:rsidR="00A70548" w:rsidRPr="002F0F7D">
        <w:rPr>
          <w:szCs w:val="22"/>
        </w:rPr>
        <w:t xml:space="preserve"> and the </w:t>
      </w:r>
      <w:r w:rsidR="00A82B0E">
        <w:rPr>
          <w:szCs w:val="22"/>
        </w:rPr>
        <w:t>TRS-</w:t>
      </w:r>
      <w:r w:rsidR="00317EBF">
        <w:rPr>
          <w:rFonts w:cs="Times New Roman"/>
          <w:color w:val="auto"/>
          <w:szCs w:val="22"/>
        </w:rPr>
        <w:t>URD Administrator</w:t>
      </w:r>
      <w:r w:rsidR="00B55B3C">
        <w:rPr>
          <w:rFonts w:cs="Times New Roman"/>
          <w:color w:val="auto"/>
          <w:szCs w:val="22"/>
        </w:rPr>
        <w:t xml:space="preserve"> </w:t>
      </w:r>
      <w:r w:rsidR="00A70548" w:rsidRPr="002F0F7D">
        <w:rPr>
          <w:szCs w:val="22"/>
        </w:rPr>
        <w:t xml:space="preserve">must maintain documents by requiring </w:t>
      </w:r>
      <w:r w:rsidR="00B55B3C">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B55B3C">
        <w:rPr>
          <w:rFonts w:cs="Times New Roman"/>
          <w:color w:val="auto"/>
          <w:szCs w:val="22"/>
        </w:rPr>
        <w:t xml:space="preserve"> </w:t>
      </w:r>
      <w:r w:rsidR="00A70548" w:rsidRPr="002F0F7D">
        <w:rPr>
          <w:szCs w:val="22"/>
        </w:rPr>
        <w:t xml:space="preserve">to </w:t>
      </w:r>
      <w:r w:rsidR="008F528F">
        <w:rPr>
          <w:szCs w:val="22"/>
        </w:rPr>
        <w:t>complete</w:t>
      </w:r>
      <w:r w:rsidR="00A70548" w:rsidRPr="002F0F7D">
        <w:rPr>
          <w:szCs w:val="22"/>
        </w:rPr>
        <w:t xml:space="preserve"> audits of supporting documentatio</w:t>
      </w:r>
      <w:r w:rsidR="00F555E4">
        <w:rPr>
          <w:szCs w:val="22"/>
        </w:rPr>
        <w:t>n—only to the extent necessary for registration validation—</w:t>
      </w:r>
      <w:r w:rsidR="008F528F">
        <w:rPr>
          <w:szCs w:val="22"/>
        </w:rPr>
        <w:t>in a prescribed period</w:t>
      </w:r>
      <w:r>
        <w:rPr>
          <w:szCs w:val="22"/>
        </w:rPr>
        <w:t>;</w:t>
      </w:r>
    </w:p>
    <w:p w14:paraId="24C96565" w14:textId="19AC1CFD" w:rsidR="00A70548" w:rsidRPr="002F0F7D" w:rsidRDefault="00A70548" w:rsidP="004C075E">
      <w:pPr>
        <w:pStyle w:val="ListParagraph"/>
        <w:numPr>
          <w:ilvl w:val="1"/>
          <w:numId w:val="4"/>
        </w:numPr>
        <w:spacing w:afterLines="80" w:after="192" w:line="300" w:lineRule="exact"/>
        <w:ind w:left="1296" w:hanging="432"/>
        <w:rPr>
          <w:szCs w:val="22"/>
        </w:rPr>
      </w:pPr>
      <w:r w:rsidRPr="002F0F7D">
        <w:rPr>
          <w:szCs w:val="22"/>
        </w:rPr>
        <w:t xml:space="preserve">To the extent that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sidRPr="002F0F7D">
        <w:rPr>
          <w:szCs w:val="22"/>
        </w:rPr>
        <w:t xml:space="preserve">requires copies of supporting documentation, </w:t>
      </w:r>
      <w:r w:rsidR="00D75E1E">
        <w:rPr>
          <w:szCs w:val="22"/>
        </w:rPr>
        <w:t xml:space="preserve">require </w:t>
      </w:r>
      <w:r w:rsidR="000029AE">
        <w:rPr>
          <w:szCs w:val="22"/>
        </w:rPr>
        <w:t xml:space="preserve">the </w:t>
      </w:r>
      <w:r w:rsidRPr="00570A40">
        <w:rPr>
          <w:szCs w:val="22"/>
        </w:rPr>
        <w:t xml:space="preserve">transmission </w:t>
      </w:r>
      <w:r w:rsidR="00D75E1E">
        <w:rPr>
          <w:szCs w:val="22"/>
        </w:rPr>
        <w:t xml:space="preserve">of those documents and storage </w:t>
      </w:r>
      <w:r w:rsidRPr="002F0F7D">
        <w:rPr>
          <w:szCs w:val="22"/>
        </w:rPr>
        <w:t xml:space="preserve">of those documents by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7B3A72">
        <w:rPr>
          <w:rFonts w:cs="Times New Roman"/>
          <w:color w:val="auto"/>
          <w:szCs w:val="22"/>
        </w:rPr>
        <w:t xml:space="preserve"> </w:t>
      </w:r>
      <w:r w:rsidR="00D75E1E">
        <w:rPr>
          <w:szCs w:val="22"/>
        </w:rPr>
        <w:t xml:space="preserve">to be </w:t>
      </w:r>
      <w:r w:rsidRPr="002F0F7D">
        <w:rPr>
          <w:szCs w:val="22"/>
        </w:rPr>
        <w:t>secured using reasonable and appropriate security measures</w:t>
      </w:r>
      <w:r w:rsidR="00D75E1E">
        <w:rPr>
          <w:szCs w:val="22"/>
        </w:rPr>
        <w:t>, including end-to-end encryption in transit and encryption at rest;</w:t>
      </w:r>
    </w:p>
    <w:p w14:paraId="5D43A955" w14:textId="57FA33F4" w:rsidR="00A70548" w:rsidRPr="00570A40" w:rsidRDefault="00D75E1E" w:rsidP="004C075E">
      <w:pPr>
        <w:pStyle w:val="ListParagraph"/>
        <w:numPr>
          <w:ilvl w:val="1"/>
          <w:numId w:val="4"/>
        </w:numPr>
        <w:spacing w:afterLines="80" w:after="192" w:line="300" w:lineRule="exact"/>
        <w:ind w:left="1296" w:hanging="432"/>
        <w:rPr>
          <w:szCs w:val="22"/>
        </w:rPr>
      </w:pPr>
      <w:r>
        <w:rPr>
          <w:szCs w:val="22"/>
        </w:rPr>
        <w:t>Require t</w:t>
      </w:r>
      <w:r w:rsidR="00A70548" w:rsidRPr="00570A40">
        <w:rPr>
          <w:szCs w:val="22"/>
        </w:rPr>
        <w:t xml:space="preserve">ransmission </w:t>
      </w:r>
      <w:r>
        <w:rPr>
          <w:szCs w:val="22"/>
        </w:rPr>
        <w:t>and</w:t>
      </w:r>
      <w:r w:rsidRPr="00570A40">
        <w:rPr>
          <w:szCs w:val="22"/>
        </w:rPr>
        <w:t xml:space="preserve"> </w:t>
      </w:r>
      <w:r w:rsidR="00A70548" w:rsidRPr="00570A40">
        <w:rPr>
          <w:szCs w:val="22"/>
        </w:rPr>
        <w:t xml:space="preserve">storage of </w:t>
      </w:r>
      <w:r w:rsidR="000029AE">
        <w:rPr>
          <w:szCs w:val="22"/>
        </w:rPr>
        <w:t>personal user</w:t>
      </w:r>
      <w:r w:rsidR="00A70548" w:rsidRPr="00570A40">
        <w:rPr>
          <w:szCs w:val="22"/>
        </w:rPr>
        <w:t xml:space="preserve"> data, including supporting documents to or by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Pr>
          <w:szCs w:val="22"/>
        </w:rPr>
        <w:t>,</w:t>
      </w:r>
      <w:r w:rsidR="00A70548" w:rsidRPr="00570A40">
        <w:rPr>
          <w:szCs w:val="22"/>
        </w:rPr>
        <w:t xml:space="preserve"> be subject to a data transfer agreement between the </w:t>
      </w:r>
      <w:r w:rsidR="008957DF">
        <w:rPr>
          <w:szCs w:val="22"/>
        </w:rPr>
        <w:t xml:space="preserve">Provider </w:t>
      </w:r>
      <w:r w:rsidR="00A70548" w:rsidRPr="00570A40">
        <w:rPr>
          <w:szCs w:val="22"/>
        </w:rPr>
        <w:t xml:space="preserve">and </w:t>
      </w:r>
      <w:r w:rsidR="007B3A72">
        <w:rPr>
          <w:rFonts w:cs="Times New Roman"/>
          <w:color w:val="auto"/>
          <w:szCs w:val="22"/>
        </w:rPr>
        <w:t xml:space="preserve">the </w:t>
      </w:r>
      <w:r w:rsidR="00A82B0E">
        <w:rPr>
          <w:rFonts w:cs="Times New Roman"/>
          <w:color w:val="auto"/>
          <w:szCs w:val="22"/>
        </w:rPr>
        <w:t>TRS-</w:t>
      </w:r>
      <w:r w:rsidR="00317EBF">
        <w:rPr>
          <w:rFonts w:cs="Times New Roman"/>
          <w:color w:val="auto"/>
          <w:szCs w:val="22"/>
        </w:rPr>
        <w:t>URD Administrator</w:t>
      </w:r>
      <w:r w:rsidR="00A70548" w:rsidRPr="00570A40">
        <w:rPr>
          <w:szCs w:val="22"/>
        </w:rPr>
        <w:t xml:space="preserve"> that ensures reasonable and appropriate security measures</w:t>
      </w:r>
      <w:bookmarkStart w:id="27" w:name="OLE_LINK27"/>
      <w:bookmarkStart w:id="28" w:name="OLE_LINK28"/>
      <w:r>
        <w:rPr>
          <w:szCs w:val="22"/>
        </w:rPr>
        <w:t>, including end-to-end encryption in transit and encryption at rest</w:t>
      </w:r>
      <w:bookmarkEnd w:id="27"/>
      <w:bookmarkEnd w:id="28"/>
      <w:r>
        <w:rPr>
          <w:szCs w:val="22"/>
        </w:rPr>
        <w:t>,</w:t>
      </w:r>
      <w:r w:rsidR="00A70548" w:rsidRPr="00570A40">
        <w:rPr>
          <w:szCs w:val="22"/>
        </w:rPr>
        <w:t xml:space="preserve"> and includ</w:t>
      </w:r>
      <w:r>
        <w:rPr>
          <w:szCs w:val="22"/>
        </w:rPr>
        <w:t>ing</w:t>
      </w:r>
      <w:r w:rsidR="00A70548" w:rsidRPr="00570A40">
        <w:rPr>
          <w:szCs w:val="22"/>
        </w:rPr>
        <w:t xml:space="preserve"> security audit rights for </w:t>
      </w:r>
      <w:r w:rsidR="007A749D">
        <w:rPr>
          <w:szCs w:val="22"/>
        </w:rPr>
        <w:t>Providers</w:t>
      </w:r>
      <w:r>
        <w:rPr>
          <w:szCs w:val="22"/>
        </w:rPr>
        <w:t>;</w:t>
      </w:r>
    </w:p>
    <w:p w14:paraId="07C41353" w14:textId="3C0EC32C" w:rsidR="00A70548" w:rsidRDefault="00D75E1E" w:rsidP="004C075E">
      <w:pPr>
        <w:pStyle w:val="ListParagraph"/>
        <w:numPr>
          <w:ilvl w:val="1"/>
          <w:numId w:val="4"/>
        </w:numPr>
        <w:spacing w:afterLines="80" w:after="192" w:line="300" w:lineRule="exact"/>
        <w:ind w:left="1296" w:hanging="432"/>
        <w:rPr>
          <w:szCs w:val="22"/>
        </w:rPr>
      </w:pPr>
      <w:r>
        <w:rPr>
          <w:szCs w:val="22"/>
        </w:rPr>
        <w:t>Requir</w:t>
      </w:r>
      <w:r w:rsidR="00CA19E9">
        <w:rPr>
          <w:szCs w:val="22"/>
        </w:rPr>
        <w:t>e</w:t>
      </w:r>
      <w:r>
        <w:rPr>
          <w:szCs w:val="22"/>
        </w:rPr>
        <w:t xml:space="preserve"> </w:t>
      </w:r>
      <w:r w:rsidR="007A749D">
        <w:rPr>
          <w:szCs w:val="22"/>
        </w:rPr>
        <w:t>Providers</w:t>
      </w:r>
      <w:r w:rsidR="0074098B">
        <w:rPr>
          <w:szCs w:val="22"/>
        </w:rPr>
        <w:t xml:space="preserve"> and </w:t>
      </w:r>
      <w:r w:rsidR="00B55B3C">
        <w:rPr>
          <w:rFonts w:cs="Times New Roman"/>
          <w:color w:val="auto"/>
          <w:szCs w:val="22"/>
        </w:rPr>
        <w:t xml:space="preserve">the </w:t>
      </w:r>
      <w:r w:rsidR="00654698">
        <w:rPr>
          <w:rFonts w:cs="Times New Roman"/>
          <w:color w:val="auto"/>
          <w:szCs w:val="22"/>
        </w:rPr>
        <w:t>TRS-</w:t>
      </w:r>
      <w:r w:rsidR="00317EBF">
        <w:rPr>
          <w:rFonts w:cs="Times New Roman"/>
          <w:color w:val="auto"/>
          <w:szCs w:val="22"/>
        </w:rPr>
        <w:t>URD Administrator</w:t>
      </w:r>
      <w:r w:rsidR="00B55B3C">
        <w:rPr>
          <w:rFonts w:cs="Times New Roman"/>
          <w:color w:val="auto"/>
          <w:szCs w:val="22"/>
        </w:rPr>
        <w:t xml:space="preserve"> </w:t>
      </w:r>
      <w:r w:rsidR="0074098B">
        <w:rPr>
          <w:szCs w:val="22"/>
        </w:rPr>
        <w:t xml:space="preserve">to </w:t>
      </w:r>
      <w:r>
        <w:rPr>
          <w:szCs w:val="22"/>
        </w:rPr>
        <w:t>purg</w:t>
      </w:r>
      <w:r w:rsidR="0074098B">
        <w:rPr>
          <w:szCs w:val="22"/>
        </w:rPr>
        <w:t>e</w:t>
      </w:r>
      <w:r>
        <w:rPr>
          <w:szCs w:val="22"/>
        </w:rPr>
        <w:t xml:space="preserve"> all supporting document</w:t>
      </w:r>
      <w:r w:rsidR="0074098B">
        <w:rPr>
          <w:szCs w:val="22"/>
        </w:rPr>
        <w:t>ation</w:t>
      </w:r>
      <w:r>
        <w:rPr>
          <w:szCs w:val="22"/>
        </w:rPr>
        <w:t xml:space="preserve"> </w:t>
      </w:r>
      <w:r w:rsidR="000D2070">
        <w:rPr>
          <w:szCs w:val="22"/>
        </w:rPr>
        <w:t>upon</w:t>
      </w:r>
      <w:r w:rsidR="00E67404">
        <w:rPr>
          <w:szCs w:val="22"/>
        </w:rPr>
        <w:t xml:space="preserve"> the earlier of either</w:t>
      </w:r>
      <w:r w:rsidR="000D2070">
        <w:rPr>
          <w:szCs w:val="22"/>
        </w:rPr>
        <w:t xml:space="preserve"> </w:t>
      </w:r>
      <w:r w:rsidR="00E67404">
        <w:rPr>
          <w:szCs w:val="22"/>
        </w:rPr>
        <w:t xml:space="preserve">approval of the application, or </w:t>
      </w:r>
      <w:r w:rsidR="0091206B">
        <w:rPr>
          <w:szCs w:val="22"/>
        </w:rPr>
        <w:t>30</w:t>
      </w:r>
      <w:r>
        <w:rPr>
          <w:szCs w:val="22"/>
        </w:rPr>
        <w:t xml:space="preserve"> days after submission r</w:t>
      </w:r>
      <w:r w:rsidR="00A70548" w:rsidRPr="00570A40">
        <w:rPr>
          <w:szCs w:val="22"/>
        </w:rPr>
        <w:t>egardless of audit completion</w:t>
      </w:r>
      <w:r>
        <w:rPr>
          <w:szCs w:val="22"/>
        </w:rPr>
        <w:t>;</w:t>
      </w:r>
    </w:p>
    <w:p w14:paraId="0D53689D" w14:textId="77777777" w:rsidR="00D75E1E" w:rsidRDefault="00D75E1E" w:rsidP="004C075E">
      <w:pPr>
        <w:pStyle w:val="ListParagraph"/>
        <w:numPr>
          <w:ilvl w:val="1"/>
          <w:numId w:val="4"/>
        </w:numPr>
        <w:spacing w:afterLines="80" w:after="192" w:line="300" w:lineRule="exact"/>
        <w:ind w:left="1296" w:hanging="432"/>
        <w:rPr>
          <w:szCs w:val="22"/>
        </w:rPr>
      </w:pPr>
      <w:r>
        <w:rPr>
          <w:szCs w:val="22"/>
        </w:rPr>
        <w:lastRenderedPageBreak/>
        <w:t>In all other practicable ways, minimizing retention requirements for all data collected for the URD;</w:t>
      </w:r>
    </w:p>
    <w:p w14:paraId="4D53DBDB" w14:textId="4E5C3A66" w:rsidR="00D75E1E" w:rsidRDefault="00D75E1E" w:rsidP="004C075E">
      <w:pPr>
        <w:pStyle w:val="ListParagraph"/>
        <w:numPr>
          <w:ilvl w:val="1"/>
          <w:numId w:val="4"/>
        </w:numPr>
        <w:spacing w:afterLines="80" w:after="192" w:line="300" w:lineRule="exact"/>
        <w:ind w:left="1296" w:hanging="432"/>
        <w:rPr>
          <w:szCs w:val="22"/>
        </w:rPr>
      </w:pPr>
      <w:r w:rsidRPr="00D75E1E">
        <w:rPr>
          <w:szCs w:val="22"/>
        </w:rPr>
        <w:t xml:space="preserve">Limit </w:t>
      </w:r>
      <w:r>
        <w:rPr>
          <w:szCs w:val="22"/>
        </w:rPr>
        <w:t xml:space="preserve">non-real-time validation </w:t>
      </w:r>
      <w:r w:rsidRPr="00D75E1E">
        <w:rPr>
          <w:szCs w:val="22"/>
        </w:rPr>
        <w:t xml:space="preserve">requirements to </w:t>
      </w:r>
      <w:r>
        <w:rPr>
          <w:szCs w:val="22"/>
        </w:rPr>
        <w:t xml:space="preserve">circumstances where a specific registrant’s information gives rise to a specific, articulable suspicion that he or she is attempting to register fraudulently; </w:t>
      </w:r>
    </w:p>
    <w:p w14:paraId="6F4899DE" w14:textId="2F2C6556" w:rsidR="00570A40" w:rsidRDefault="00D75E1E" w:rsidP="00780B13">
      <w:pPr>
        <w:pStyle w:val="ListParagraph"/>
        <w:numPr>
          <w:ilvl w:val="1"/>
          <w:numId w:val="4"/>
        </w:numPr>
        <w:spacing w:afterLines="80" w:after="192" w:line="300" w:lineRule="exact"/>
        <w:rPr>
          <w:szCs w:val="22"/>
        </w:rPr>
      </w:pPr>
      <w:r>
        <w:rPr>
          <w:szCs w:val="22"/>
        </w:rPr>
        <w:t>Where possible, limit information used for verification to metadata rather than personally identifiable information</w:t>
      </w:r>
      <w:r w:rsidR="00780B13">
        <w:rPr>
          <w:szCs w:val="22"/>
        </w:rPr>
        <w:t>, f</w:t>
      </w:r>
      <w:r w:rsidR="00780B13" w:rsidRPr="00780B13">
        <w:rPr>
          <w:szCs w:val="22"/>
        </w:rPr>
        <w:t>or example, rely on information that says the person is located in the United States, rather than their address, or rely on information that says the DOB matches, rather than list the DOB or include a copy of a Driver’s License</w:t>
      </w:r>
      <w:r>
        <w:rPr>
          <w:szCs w:val="22"/>
        </w:rPr>
        <w:t>;</w:t>
      </w:r>
      <w:r w:rsidR="008F528F">
        <w:rPr>
          <w:szCs w:val="22"/>
        </w:rPr>
        <w:t xml:space="preserve"> and</w:t>
      </w:r>
    </w:p>
    <w:p w14:paraId="5CC30F33" w14:textId="1E0AE749" w:rsidR="002D5427" w:rsidRPr="002D5427" w:rsidRDefault="002D5427" w:rsidP="002D5427">
      <w:pPr>
        <w:pStyle w:val="ListParagraph"/>
        <w:numPr>
          <w:ilvl w:val="1"/>
          <w:numId w:val="4"/>
        </w:numPr>
        <w:spacing w:afterLines="80" w:after="192" w:line="300" w:lineRule="exact"/>
        <w:ind w:hanging="540"/>
        <w:rPr>
          <w:szCs w:val="22"/>
        </w:rPr>
      </w:pPr>
      <w:r w:rsidRPr="002D5427">
        <w:rPr>
          <w:szCs w:val="22"/>
        </w:rPr>
        <w:t xml:space="preserve">Temporary approval should be granted if the URD Administrator submits a code that signifies they have collected an appropriate “corrective document”. </w:t>
      </w:r>
    </w:p>
    <w:p w14:paraId="422B0DFD" w14:textId="5AD007CC" w:rsidR="002D5427" w:rsidRPr="002D5427" w:rsidRDefault="002D5427" w:rsidP="00577584">
      <w:pPr>
        <w:pStyle w:val="ListParagraph"/>
        <w:spacing w:afterLines="80" w:after="192" w:line="300" w:lineRule="exact"/>
        <w:ind w:left="1440" w:firstLine="0"/>
        <w:rPr>
          <w:szCs w:val="22"/>
        </w:rPr>
      </w:pPr>
      <w:proofErr w:type="spellStart"/>
      <w:r w:rsidRPr="002D5427">
        <w:rPr>
          <w:szCs w:val="22"/>
        </w:rPr>
        <w:t>i</w:t>
      </w:r>
      <w:proofErr w:type="spellEnd"/>
      <w:r w:rsidRPr="002D5427">
        <w:rPr>
          <w:szCs w:val="22"/>
        </w:rPr>
        <w:t>.      In the event of a validation failure:</w:t>
      </w:r>
    </w:p>
    <w:p w14:paraId="08C4836C" w14:textId="77777777" w:rsidR="002D5427" w:rsidRPr="002D5427" w:rsidRDefault="002D5427" w:rsidP="00577584">
      <w:pPr>
        <w:pStyle w:val="ListParagraph"/>
        <w:numPr>
          <w:ilvl w:val="3"/>
          <w:numId w:val="39"/>
        </w:numPr>
        <w:spacing w:afterLines="80" w:after="192" w:line="300" w:lineRule="exact"/>
        <w:ind w:left="1890" w:firstLine="0"/>
        <w:rPr>
          <w:szCs w:val="22"/>
        </w:rPr>
      </w:pPr>
      <w:r w:rsidRPr="002D5427">
        <w:rPr>
          <w:szCs w:val="22"/>
        </w:rPr>
        <w:t>Provider uploads document to a secure document storage system for URD Administrator’s review.</w:t>
      </w:r>
    </w:p>
    <w:p w14:paraId="75F277E9" w14:textId="64E0B42A" w:rsidR="002D5427" w:rsidRPr="002D5427" w:rsidRDefault="002D5427" w:rsidP="00577584">
      <w:pPr>
        <w:pStyle w:val="ListParagraph"/>
        <w:numPr>
          <w:ilvl w:val="0"/>
          <w:numId w:val="39"/>
        </w:numPr>
        <w:spacing w:afterLines="80" w:after="192" w:line="300" w:lineRule="exact"/>
        <w:rPr>
          <w:szCs w:val="22"/>
        </w:rPr>
      </w:pPr>
      <w:r w:rsidRPr="002D5427">
        <w:rPr>
          <w:szCs w:val="22"/>
        </w:rPr>
        <w:t xml:space="preserve">Once URD Administrator has accepted the registrations and a unique identifier has been issued, URD Administrator shall “approve” or “sign off” on that registration and then the documentation must be purged. </w:t>
      </w:r>
    </w:p>
    <w:p w14:paraId="1F8B725A" w14:textId="29C3875F" w:rsidR="00A70548" w:rsidRPr="008F528F" w:rsidRDefault="00995D61" w:rsidP="008F528F">
      <w:pPr>
        <w:pStyle w:val="ListParagraph"/>
        <w:numPr>
          <w:ilvl w:val="0"/>
          <w:numId w:val="4"/>
        </w:numPr>
        <w:spacing w:afterLines="80" w:after="192" w:line="300" w:lineRule="exact"/>
        <w:ind w:left="864" w:hanging="432"/>
        <w:rPr>
          <w:rFonts w:cs="Times New Roman"/>
          <w:color w:val="auto"/>
          <w:szCs w:val="22"/>
        </w:rPr>
      </w:pPr>
      <w:r>
        <w:rPr>
          <w:rFonts w:cs="Times New Roman"/>
          <w:color w:val="auto"/>
          <w:szCs w:val="22"/>
        </w:rPr>
        <w:t>RECOMMENDED that the Commission address registration related costs of the IP CTS URD by</w:t>
      </w:r>
      <w:r w:rsidR="008F528F">
        <w:rPr>
          <w:rFonts w:cs="Times New Roman"/>
          <w:color w:val="auto"/>
          <w:szCs w:val="22"/>
        </w:rPr>
        <w:t xml:space="preserve"> </w:t>
      </w:r>
      <w:r w:rsidR="008F528F">
        <w:rPr>
          <w:szCs w:val="22"/>
        </w:rPr>
        <w:t>a</w:t>
      </w:r>
      <w:r w:rsidR="00A70548" w:rsidRPr="008F528F">
        <w:rPr>
          <w:szCs w:val="22"/>
        </w:rPr>
        <w:t xml:space="preserve">llowing </w:t>
      </w:r>
      <w:r w:rsidR="007A749D" w:rsidRPr="008F528F">
        <w:rPr>
          <w:szCs w:val="22"/>
        </w:rPr>
        <w:t>Providers</w:t>
      </w:r>
      <w:r w:rsidR="00A70548" w:rsidRPr="008F528F">
        <w:rPr>
          <w:szCs w:val="22"/>
        </w:rPr>
        <w:t xml:space="preserve"> to </w:t>
      </w:r>
      <w:r w:rsidR="00577494" w:rsidRPr="008F528F">
        <w:rPr>
          <w:szCs w:val="22"/>
        </w:rPr>
        <w:t>receive</w:t>
      </w:r>
      <w:r w:rsidR="00570A40" w:rsidRPr="008F528F">
        <w:rPr>
          <w:szCs w:val="22"/>
        </w:rPr>
        <w:t xml:space="preserve"> </w:t>
      </w:r>
      <w:r w:rsidR="00A70548" w:rsidRPr="008F528F">
        <w:rPr>
          <w:szCs w:val="22"/>
        </w:rPr>
        <w:t>an exogenous cost adjustment for incurred URD related costs.</w:t>
      </w:r>
    </w:p>
    <w:p w14:paraId="17D81EFD" w14:textId="78AA17C5" w:rsidR="00A70548" w:rsidRPr="00A70548" w:rsidRDefault="00A70548" w:rsidP="008F528F">
      <w:pPr>
        <w:pStyle w:val="ListParagraph"/>
        <w:spacing w:afterLines="80" w:after="192" w:line="300" w:lineRule="exact"/>
        <w:ind w:left="1440"/>
        <w:rPr>
          <w:rFonts w:cs="Times New Roman"/>
          <w:color w:val="auto"/>
          <w:szCs w:val="22"/>
        </w:rPr>
      </w:pPr>
    </w:p>
    <w:sectPr w:rsidR="00A70548" w:rsidRPr="00A70548" w:rsidSect="00995D61">
      <w:footerReference w:type="even" r:id="rId8"/>
      <w:footerReference w:type="default" r:id="rId9"/>
      <w:pgSz w:w="12240" w:h="15840"/>
      <w:pgMar w:top="1080" w:right="1728" w:bottom="1440" w:left="172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E84D9" w14:textId="77777777" w:rsidR="00E053CF" w:rsidRDefault="00E053CF">
      <w:r>
        <w:separator/>
      </w:r>
    </w:p>
  </w:endnote>
  <w:endnote w:type="continuationSeparator" w:id="0">
    <w:p w14:paraId="2DA7B0E7" w14:textId="77777777" w:rsidR="00E053CF" w:rsidRDefault="00E0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harter">
    <w:altName w:val="Cambria Math"/>
    <w:charset w:val="00"/>
    <w:family w:val="roman"/>
    <w:pitch w:val="variable"/>
    <w:sig w:usb0="800000AF" w:usb1="1000204A" w:usb2="00000000" w:usb3="00000000" w:csb0="00000011" w:csb1="00000000"/>
  </w:font>
  <w:font w:name="Helvetica Neue">
    <w:altName w:val="Aria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5792929"/>
      <w:docPartObj>
        <w:docPartGallery w:val="Page Numbers (Bottom of Page)"/>
        <w:docPartUnique/>
      </w:docPartObj>
    </w:sdtPr>
    <w:sdtEndPr>
      <w:rPr>
        <w:rStyle w:val="PageNumber"/>
      </w:rPr>
    </w:sdtEndPr>
    <w:sdtContent>
      <w:p w14:paraId="513EBC6A" w14:textId="161BA00B" w:rsidR="00274EFE" w:rsidRDefault="00274EFE" w:rsidP="00172DC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910A8" w14:textId="77777777" w:rsidR="00274EFE" w:rsidRDefault="00274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harter" w:hAnsi="Charter"/>
      </w:rPr>
      <w:id w:val="-1959478692"/>
      <w:docPartObj>
        <w:docPartGallery w:val="Page Numbers (Bottom of Page)"/>
        <w:docPartUnique/>
      </w:docPartObj>
    </w:sdtPr>
    <w:sdtEndPr>
      <w:rPr>
        <w:rStyle w:val="PageNumber"/>
      </w:rPr>
    </w:sdtEndPr>
    <w:sdtContent>
      <w:p w14:paraId="7F585CB2" w14:textId="2B85F687" w:rsidR="00274EFE" w:rsidRPr="00995D61" w:rsidRDefault="00274EFE" w:rsidP="00995D61">
        <w:pPr>
          <w:pStyle w:val="Footer"/>
          <w:jc w:val="center"/>
          <w:rPr>
            <w:rFonts w:ascii="Charter" w:hAnsi="Charter"/>
          </w:rPr>
        </w:pPr>
        <w:r w:rsidRPr="00995D61">
          <w:rPr>
            <w:rStyle w:val="PageNumber"/>
            <w:rFonts w:ascii="Charter" w:hAnsi="Charter"/>
          </w:rPr>
          <w:fldChar w:fldCharType="begin"/>
        </w:r>
        <w:r w:rsidRPr="00995D61">
          <w:rPr>
            <w:rStyle w:val="PageNumber"/>
            <w:rFonts w:ascii="Charter" w:hAnsi="Charter"/>
          </w:rPr>
          <w:instrText xml:space="preserve"> PAGE </w:instrText>
        </w:r>
        <w:r w:rsidRPr="00995D61">
          <w:rPr>
            <w:rStyle w:val="PageNumber"/>
            <w:rFonts w:ascii="Charter" w:hAnsi="Charter"/>
          </w:rPr>
          <w:fldChar w:fldCharType="separate"/>
        </w:r>
        <w:r w:rsidR="007A24F7">
          <w:rPr>
            <w:rStyle w:val="PageNumber"/>
            <w:rFonts w:ascii="Charter" w:hAnsi="Charter"/>
            <w:noProof/>
          </w:rPr>
          <w:t>2</w:t>
        </w:r>
        <w:r w:rsidRPr="00995D61">
          <w:rPr>
            <w:rStyle w:val="PageNumber"/>
            <w:rFonts w:ascii="Charter" w:hAnsi="Chart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9598" w14:textId="77777777" w:rsidR="00E053CF" w:rsidRDefault="00E053CF">
      <w:r>
        <w:separator/>
      </w:r>
    </w:p>
  </w:footnote>
  <w:footnote w:type="continuationSeparator" w:id="0">
    <w:p w14:paraId="74A4E9B3" w14:textId="77777777" w:rsidR="00E053CF" w:rsidRDefault="00E053CF">
      <w:r>
        <w:continuationSeparator/>
      </w:r>
    </w:p>
  </w:footnote>
  <w:footnote w:type="continuationNotice" w:id="1">
    <w:p w14:paraId="0DBB68A1" w14:textId="77777777" w:rsidR="00E053CF" w:rsidRDefault="00E053CF"/>
  </w:footnote>
  <w:footnote w:id="2">
    <w:p w14:paraId="5C958528" w14:textId="297CC581" w:rsidR="00274EFE" w:rsidRPr="0094515A" w:rsidRDefault="00274EFE">
      <w:pPr>
        <w:pStyle w:val="FootnoteText"/>
      </w:pPr>
      <w:r>
        <w:rPr>
          <w:rStyle w:val="FootnoteReference"/>
        </w:rPr>
        <w:footnoteRef/>
      </w:r>
      <w:r>
        <w:t xml:space="preserve"> </w:t>
      </w:r>
      <w:r w:rsidRPr="00577584">
        <w:rPr>
          <w:i/>
          <w:iCs/>
        </w:rPr>
        <w:t>Misuse of Internet Protocol (IP) Captioned Telephone Service</w:t>
      </w:r>
      <w:r w:rsidR="00F555E4">
        <w:rPr>
          <w:i/>
          <w:iCs/>
        </w:rPr>
        <w:t xml:space="preserve"> et al</w:t>
      </w:r>
      <w:r>
        <w:t xml:space="preserve">, </w:t>
      </w:r>
      <w:r w:rsidRPr="00577584">
        <w:t>Report and Order, Further Notice of Proposed Rulemaking, and Order</w:t>
      </w:r>
      <w:r>
        <w:t xml:space="preserve">, CG Docket No. 13-24 </w:t>
      </w:r>
      <w:r w:rsidR="00F555E4">
        <w:t>et al</w:t>
      </w:r>
      <w:r w:rsidR="00712CB7">
        <w:t>.</w:t>
      </w:r>
      <w:r>
        <w:t xml:space="preserve">, </w:t>
      </w:r>
      <w:r w:rsidR="007D6E03">
        <w:t>34</w:t>
      </w:r>
      <w:r>
        <w:t xml:space="preserve"> FCC Rcd. 691, 691, 693–94, 696–707, </w:t>
      </w:r>
      <w:r w:rsidR="00157DA2">
        <w:t>paras.</w:t>
      </w:r>
      <w:r>
        <w:t xml:space="preserve"> 1, 5–8, 13–32 (2019)</w:t>
      </w:r>
      <w:r w:rsidR="007D6E03">
        <w:t xml:space="preserve"> (</w:t>
      </w:r>
      <w:r w:rsidR="007D6E03">
        <w:rPr>
          <w:i/>
          <w:iCs/>
        </w:rPr>
        <w:t xml:space="preserve">IP CTS </w:t>
      </w:r>
      <w:r w:rsidR="007A2BDF">
        <w:rPr>
          <w:i/>
          <w:iCs/>
        </w:rPr>
        <w:t>TRS-</w:t>
      </w:r>
      <w:r w:rsidR="007D6E03">
        <w:rPr>
          <w:i/>
          <w:iCs/>
        </w:rPr>
        <w:t>URD Order</w:t>
      </w:r>
      <w:r w:rsidR="007D6E03">
        <w:t>)</w:t>
      </w:r>
      <w:r>
        <w:t>.</w:t>
      </w:r>
    </w:p>
  </w:footnote>
  <w:footnote w:id="3">
    <w:p w14:paraId="3861348B" w14:textId="4BF5C2C2" w:rsidR="00274EFE" w:rsidRPr="002D6EE1" w:rsidRDefault="00274EFE">
      <w:pPr>
        <w:pStyle w:val="FootnoteText"/>
      </w:pPr>
      <w:r w:rsidRPr="000D677C">
        <w:rPr>
          <w:rStyle w:val="FootnoteReference"/>
        </w:rPr>
        <w:footnoteRef/>
      </w:r>
      <w:r w:rsidRPr="000D677C">
        <w:t xml:space="preserve"> </w:t>
      </w:r>
      <w:r w:rsidR="00F555E4" w:rsidRPr="00780B13">
        <w:rPr>
          <w:i/>
          <w:iCs/>
        </w:rPr>
        <w:t>Video Relay Service Providers May Begin Submitting Data to the TRS User Registration Database</w:t>
      </w:r>
      <w:r w:rsidR="00F555E4">
        <w:t xml:space="preserve">, CG Docket Nos. 10-51 </w:t>
      </w:r>
      <w:r w:rsidR="009B0DAC">
        <w:t>and</w:t>
      </w:r>
      <w:r w:rsidR="00F555E4">
        <w:t xml:space="preserve"> 03-123</w:t>
      </w:r>
      <w:r w:rsidR="001929E7">
        <w:t>,</w:t>
      </w:r>
      <w:r w:rsidR="00F555E4">
        <w:t xml:space="preserve"> </w:t>
      </w:r>
      <w:r w:rsidR="001929E7">
        <w:t xml:space="preserve">Public Notice, </w:t>
      </w:r>
      <w:r w:rsidR="000B3860" w:rsidRPr="00780B13">
        <w:t>32 FCC Rcd 10467</w:t>
      </w:r>
      <w:r w:rsidR="000B3860">
        <w:t xml:space="preserve"> </w:t>
      </w:r>
      <w:r w:rsidR="00F555E4">
        <w:t xml:space="preserve">(2017); </w:t>
      </w:r>
      <w:r w:rsidR="002D6EE1">
        <w:rPr>
          <w:i/>
          <w:iCs/>
        </w:rPr>
        <w:t>Structure and Practices of the Video Relay Service Program et al</w:t>
      </w:r>
      <w:r w:rsidR="002D6EE1">
        <w:t xml:space="preserve">, CG Docket Nos. 10-51 </w:t>
      </w:r>
      <w:r w:rsidR="002D6EE1">
        <w:rPr>
          <w:i/>
          <w:iCs/>
        </w:rPr>
        <w:t>et al</w:t>
      </w:r>
      <w:r w:rsidR="002D6EE1">
        <w:t xml:space="preserve">, Order, 33 FCC Rcd 2062 (CGB 2018); </w:t>
      </w:r>
      <w:r w:rsidR="002D6EE1">
        <w:rPr>
          <w:i/>
          <w:iCs/>
        </w:rPr>
        <w:t>Structure and Practices of the Video Relay Service Program et al</w:t>
      </w:r>
      <w:r w:rsidR="002D6EE1">
        <w:t xml:space="preserve">, CG Docket Nos. 10-51 </w:t>
      </w:r>
      <w:r w:rsidR="002D6EE1">
        <w:rPr>
          <w:i/>
          <w:iCs/>
        </w:rPr>
        <w:t>et al</w:t>
      </w:r>
      <w:r w:rsidR="002D6EE1">
        <w:t>., Order, 33 FCC Rcd 2987 (CGB 2018).</w:t>
      </w:r>
    </w:p>
  </w:footnote>
  <w:footnote w:id="4">
    <w:p w14:paraId="6F060AFF" w14:textId="6BDC79F0" w:rsidR="007D6E03" w:rsidRPr="007D6E03" w:rsidRDefault="007D6E03">
      <w:pPr>
        <w:pStyle w:val="FootnoteText"/>
      </w:pPr>
      <w:r>
        <w:rPr>
          <w:rStyle w:val="FootnoteReference"/>
        </w:rPr>
        <w:footnoteRef/>
      </w:r>
      <w:r>
        <w:t xml:space="preserve"> </w:t>
      </w:r>
      <w:r>
        <w:rPr>
          <w:i/>
          <w:iCs/>
        </w:rPr>
        <w:t xml:space="preserve">See </w:t>
      </w:r>
      <w:r>
        <w:t xml:space="preserve">47 CFR </w:t>
      </w:r>
      <w:r>
        <w:rPr>
          <w:rFonts w:ascii="Times New Roman" w:hAnsi="Times New Roman" w:cs="Times New Roman"/>
        </w:rPr>
        <w:t>§</w:t>
      </w:r>
      <w:r>
        <w:t xml:space="preserve"> 64.611</w:t>
      </w:r>
      <w:r w:rsidR="00C12337">
        <w:t>(a)(6) (providing requirements for enterprise phones used for VRS, but not for IP CTS).</w:t>
      </w:r>
    </w:p>
  </w:footnote>
  <w:footnote w:id="5">
    <w:p w14:paraId="581855E7" w14:textId="54FCD2AF" w:rsidR="007D6E03" w:rsidRPr="007D6E03" w:rsidRDefault="007D6E03">
      <w:pPr>
        <w:pStyle w:val="FootnoteText"/>
      </w:pPr>
      <w:r>
        <w:rPr>
          <w:rStyle w:val="FootnoteReference"/>
        </w:rPr>
        <w:footnoteRef/>
      </w:r>
      <w:r>
        <w:t xml:space="preserve"> </w:t>
      </w:r>
      <w:r>
        <w:rPr>
          <w:i/>
          <w:iCs/>
        </w:rPr>
        <w:t>See, e.g.</w:t>
      </w:r>
      <w:r>
        <w:t xml:space="preserve">, 47 CFR </w:t>
      </w:r>
      <w:r>
        <w:rPr>
          <w:rFonts w:ascii="Times New Roman" w:hAnsi="Times New Roman" w:cs="Times New Roman"/>
        </w:rPr>
        <w:t>§</w:t>
      </w:r>
      <w:r>
        <w:t xml:space="preserve"> 64.611(j)(1)(</w:t>
      </w:r>
      <w:proofErr w:type="spellStart"/>
      <w:r>
        <w:t>i</w:t>
      </w:r>
      <w:proofErr w:type="spellEnd"/>
      <w:r>
        <w:t>).</w:t>
      </w:r>
    </w:p>
  </w:footnote>
  <w:footnote w:id="6">
    <w:p w14:paraId="11672966" w14:textId="4DE16787" w:rsidR="00F555E4" w:rsidRPr="00F555E4" w:rsidRDefault="00F555E4">
      <w:pPr>
        <w:pStyle w:val="FootnoteText"/>
      </w:pPr>
      <w:r>
        <w:rPr>
          <w:rStyle w:val="FootnoteReference"/>
        </w:rPr>
        <w:footnoteRef/>
      </w:r>
      <w:r>
        <w:t xml:space="preserve"> </w:t>
      </w:r>
      <w:r>
        <w:rPr>
          <w:i/>
          <w:iCs/>
        </w:rPr>
        <w:t>See</w:t>
      </w:r>
      <w:r>
        <w:t xml:space="preserve"> Notice; one new Privacy Act System of Records, 80 Fed. Reg. 6963 (Feb. 9,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90D2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2E8F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E65F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4035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86E5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9A80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BF00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5A6F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EFC9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4C79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33F3A"/>
    <w:multiLevelType w:val="hybridMultilevel"/>
    <w:tmpl w:val="C6568B44"/>
    <w:lvl w:ilvl="0" w:tplc="147E8E2C">
      <w:start w:val="1"/>
      <w:numFmt w:val="bullet"/>
      <w:lvlText w:val="•"/>
      <w:lvlJc w:val="left"/>
      <w:pPr>
        <w:tabs>
          <w:tab w:val="num" w:pos="720"/>
        </w:tabs>
        <w:ind w:left="720" w:hanging="360"/>
      </w:pPr>
      <w:rPr>
        <w:rFonts w:ascii="Arial" w:hAnsi="Arial" w:hint="default"/>
      </w:rPr>
    </w:lvl>
    <w:lvl w:ilvl="1" w:tplc="A218097C" w:tentative="1">
      <w:start w:val="1"/>
      <w:numFmt w:val="bullet"/>
      <w:lvlText w:val="•"/>
      <w:lvlJc w:val="left"/>
      <w:pPr>
        <w:tabs>
          <w:tab w:val="num" w:pos="1440"/>
        </w:tabs>
        <w:ind w:left="1440" w:hanging="360"/>
      </w:pPr>
      <w:rPr>
        <w:rFonts w:ascii="Arial" w:hAnsi="Arial" w:hint="default"/>
      </w:rPr>
    </w:lvl>
    <w:lvl w:ilvl="2" w:tplc="50789BE6" w:tentative="1">
      <w:start w:val="1"/>
      <w:numFmt w:val="bullet"/>
      <w:lvlText w:val="•"/>
      <w:lvlJc w:val="left"/>
      <w:pPr>
        <w:tabs>
          <w:tab w:val="num" w:pos="2160"/>
        </w:tabs>
        <w:ind w:left="2160" w:hanging="360"/>
      </w:pPr>
      <w:rPr>
        <w:rFonts w:ascii="Arial" w:hAnsi="Arial" w:hint="default"/>
      </w:rPr>
    </w:lvl>
    <w:lvl w:ilvl="3" w:tplc="3D0AF77A" w:tentative="1">
      <w:start w:val="1"/>
      <w:numFmt w:val="bullet"/>
      <w:lvlText w:val="•"/>
      <w:lvlJc w:val="left"/>
      <w:pPr>
        <w:tabs>
          <w:tab w:val="num" w:pos="2880"/>
        </w:tabs>
        <w:ind w:left="2880" w:hanging="360"/>
      </w:pPr>
      <w:rPr>
        <w:rFonts w:ascii="Arial" w:hAnsi="Arial" w:hint="default"/>
      </w:rPr>
    </w:lvl>
    <w:lvl w:ilvl="4" w:tplc="999A4FF8" w:tentative="1">
      <w:start w:val="1"/>
      <w:numFmt w:val="bullet"/>
      <w:lvlText w:val="•"/>
      <w:lvlJc w:val="left"/>
      <w:pPr>
        <w:tabs>
          <w:tab w:val="num" w:pos="3600"/>
        </w:tabs>
        <w:ind w:left="3600" w:hanging="360"/>
      </w:pPr>
      <w:rPr>
        <w:rFonts w:ascii="Arial" w:hAnsi="Arial" w:hint="default"/>
      </w:rPr>
    </w:lvl>
    <w:lvl w:ilvl="5" w:tplc="70BA1046" w:tentative="1">
      <w:start w:val="1"/>
      <w:numFmt w:val="bullet"/>
      <w:lvlText w:val="•"/>
      <w:lvlJc w:val="left"/>
      <w:pPr>
        <w:tabs>
          <w:tab w:val="num" w:pos="4320"/>
        </w:tabs>
        <w:ind w:left="4320" w:hanging="360"/>
      </w:pPr>
      <w:rPr>
        <w:rFonts w:ascii="Arial" w:hAnsi="Arial" w:hint="default"/>
      </w:rPr>
    </w:lvl>
    <w:lvl w:ilvl="6" w:tplc="CBECAF48" w:tentative="1">
      <w:start w:val="1"/>
      <w:numFmt w:val="bullet"/>
      <w:lvlText w:val="•"/>
      <w:lvlJc w:val="left"/>
      <w:pPr>
        <w:tabs>
          <w:tab w:val="num" w:pos="5040"/>
        </w:tabs>
        <w:ind w:left="5040" w:hanging="360"/>
      </w:pPr>
      <w:rPr>
        <w:rFonts w:ascii="Arial" w:hAnsi="Arial" w:hint="default"/>
      </w:rPr>
    </w:lvl>
    <w:lvl w:ilvl="7" w:tplc="D35CF0CC" w:tentative="1">
      <w:start w:val="1"/>
      <w:numFmt w:val="bullet"/>
      <w:lvlText w:val="•"/>
      <w:lvlJc w:val="left"/>
      <w:pPr>
        <w:tabs>
          <w:tab w:val="num" w:pos="5760"/>
        </w:tabs>
        <w:ind w:left="5760" w:hanging="360"/>
      </w:pPr>
      <w:rPr>
        <w:rFonts w:ascii="Arial" w:hAnsi="Arial" w:hint="default"/>
      </w:rPr>
    </w:lvl>
    <w:lvl w:ilvl="8" w:tplc="5A0E31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ED37A24"/>
    <w:multiLevelType w:val="hybridMultilevel"/>
    <w:tmpl w:val="EE12EDA6"/>
    <w:styleLink w:val="ImportedStyle10"/>
    <w:lvl w:ilvl="0" w:tplc="9E0CDDD2">
      <w:start w:val="1"/>
      <w:numFmt w:val="bullet"/>
      <w:lvlText w:val="·"/>
      <w:lvlJc w:val="left"/>
      <w:pPr>
        <w:ind w:left="105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12AC18">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62187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F4712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F0910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52C2F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A4BB4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D00CE6">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8275B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2E37A6"/>
    <w:multiLevelType w:val="hybridMultilevel"/>
    <w:tmpl w:val="5D26D32E"/>
    <w:lvl w:ilvl="0" w:tplc="93B055BC">
      <w:start w:val="1"/>
      <w:numFmt w:val="bullet"/>
      <w:lvlText w:val=""/>
      <w:lvlJc w:val="left"/>
      <w:pPr>
        <w:ind w:left="864" w:hanging="432"/>
      </w:pPr>
      <w:rPr>
        <w:rFonts w:ascii="Symbol" w:hAnsi="Symbol" w:hint="default"/>
        <w:color w:val="808080" w:themeColor="background1" w:themeShade="80"/>
        <w:sz w:val="18"/>
      </w:rPr>
    </w:lvl>
    <w:lvl w:ilvl="1" w:tplc="7A36CE6A">
      <w:start w:val="1"/>
      <w:numFmt w:val="bullet"/>
      <w:lvlText w:val="o"/>
      <w:lvlJc w:val="left"/>
      <w:pPr>
        <w:ind w:left="1296" w:hanging="432"/>
      </w:pPr>
      <w:rPr>
        <w:rFonts w:ascii="Symbol" w:hAnsi="Symbol" w:hint="default"/>
        <w:sz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53B00"/>
    <w:multiLevelType w:val="hybridMultilevel"/>
    <w:tmpl w:val="750A7682"/>
    <w:lvl w:ilvl="0" w:tplc="0409000F">
      <w:start w:val="1"/>
      <w:numFmt w:val="decimal"/>
      <w:lvlText w:val="%1."/>
      <w:lvlJc w:val="left"/>
      <w:pPr>
        <w:ind w:left="630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ED10229"/>
    <w:multiLevelType w:val="hybridMultilevel"/>
    <w:tmpl w:val="38EC0990"/>
    <w:styleLink w:val="ImportedStyle2"/>
    <w:lvl w:ilvl="0" w:tplc="4CBEADC4">
      <w:start w:val="1"/>
      <w:numFmt w:val="decimal"/>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8F0D8">
      <w:start w:val="1"/>
      <w:numFmt w:val="lowerLetter"/>
      <w:lvlText w:val="%2."/>
      <w:lvlJc w:val="left"/>
      <w:pPr>
        <w:tabs>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8CA956">
      <w:start w:val="1"/>
      <w:numFmt w:val="lowerRoman"/>
      <w:lvlText w:val="%3."/>
      <w:lvlJc w:val="left"/>
      <w:pPr>
        <w:tabs>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342DE4">
      <w:start w:val="1"/>
      <w:numFmt w:val="decimal"/>
      <w:lvlText w:val="%4."/>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9C60BE">
      <w:start w:val="1"/>
      <w:numFmt w:val="lowerLetter"/>
      <w:lvlText w:val="%5."/>
      <w:lvlJc w:val="left"/>
      <w:pPr>
        <w:tabs>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A4D916">
      <w:start w:val="1"/>
      <w:numFmt w:val="lowerRoman"/>
      <w:lvlText w:val="%6."/>
      <w:lvlJc w:val="left"/>
      <w:pPr>
        <w:tabs>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B009D4">
      <w:start w:val="1"/>
      <w:numFmt w:val="decimal"/>
      <w:lvlText w:val="%7."/>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5EB38E">
      <w:start w:val="1"/>
      <w:numFmt w:val="lowerLetter"/>
      <w:lvlText w:val="%8."/>
      <w:lvlJc w:val="left"/>
      <w:pPr>
        <w:tabs>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564D40">
      <w:start w:val="1"/>
      <w:numFmt w:val="lowerRoman"/>
      <w:lvlText w:val="%9."/>
      <w:lvlJc w:val="left"/>
      <w:pPr>
        <w:tabs>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FEE2F4B"/>
    <w:multiLevelType w:val="multilevel"/>
    <w:tmpl w:val="D2967594"/>
    <w:lvl w:ilvl="0">
      <w:start w:val="1"/>
      <w:numFmt w:val="bullet"/>
      <w:lvlText w:val=""/>
      <w:lvlJc w:val="left"/>
      <w:pPr>
        <w:ind w:left="720" w:hanging="432"/>
      </w:pPr>
      <w:rPr>
        <w:rFonts w:ascii="Symbol" w:hAnsi="Symbol" w:hint="default"/>
        <w:color w:val="808080" w:themeColor="background1" w:themeShade="80"/>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6" w15:restartNumberingAfterBreak="0">
    <w:nsid w:val="255263A2"/>
    <w:multiLevelType w:val="hybridMultilevel"/>
    <w:tmpl w:val="030080A4"/>
    <w:lvl w:ilvl="0" w:tplc="7E28541A">
      <w:start w:val="1"/>
      <w:numFmt w:val="decimal"/>
      <w:lvlText w:val="%1."/>
      <w:lvlJc w:val="left"/>
      <w:pPr>
        <w:ind w:left="1220" w:hanging="361"/>
      </w:pPr>
      <w:rPr>
        <w:rFonts w:ascii="Calibri" w:eastAsia="Calibri" w:hAnsi="Calibri" w:cs="Calibri" w:hint="default"/>
        <w:w w:val="99"/>
        <w:sz w:val="22"/>
        <w:szCs w:val="22"/>
      </w:rPr>
    </w:lvl>
    <w:lvl w:ilvl="1" w:tplc="BD088CD6">
      <w:numFmt w:val="bullet"/>
      <w:lvlText w:val="•"/>
      <w:lvlJc w:val="left"/>
      <w:pPr>
        <w:ind w:left="2062" w:hanging="361"/>
      </w:pPr>
      <w:rPr>
        <w:rFonts w:hint="default"/>
      </w:rPr>
    </w:lvl>
    <w:lvl w:ilvl="2" w:tplc="88FC9A5C">
      <w:numFmt w:val="bullet"/>
      <w:lvlText w:val="•"/>
      <w:lvlJc w:val="left"/>
      <w:pPr>
        <w:ind w:left="2904" w:hanging="361"/>
      </w:pPr>
      <w:rPr>
        <w:rFonts w:hint="default"/>
      </w:rPr>
    </w:lvl>
    <w:lvl w:ilvl="3" w:tplc="2946C738">
      <w:numFmt w:val="bullet"/>
      <w:lvlText w:val="•"/>
      <w:lvlJc w:val="left"/>
      <w:pPr>
        <w:ind w:left="3746" w:hanging="361"/>
      </w:pPr>
      <w:rPr>
        <w:rFonts w:hint="default"/>
      </w:rPr>
    </w:lvl>
    <w:lvl w:ilvl="4" w:tplc="6A8AB860">
      <w:numFmt w:val="bullet"/>
      <w:lvlText w:val="•"/>
      <w:lvlJc w:val="left"/>
      <w:pPr>
        <w:ind w:left="4588" w:hanging="361"/>
      </w:pPr>
      <w:rPr>
        <w:rFonts w:hint="default"/>
      </w:rPr>
    </w:lvl>
    <w:lvl w:ilvl="5" w:tplc="D74CFD4E">
      <w:numFmt w:val="bullet"/>
      <w:lvlText w:val="•"/>
      <w:lvlJc w:val="left"/>
      <w:pPr>
        <w:ind w:left="5430" w:hanging="361"/>
      </w:pPr>
      <w:rPr>
        <w:rFonts w:hint="default"/>
      </w:rPr>
    </w:lvl>
    <w:lvl w:ilvl="6" w:tplc="1BB420F0">
      <w:numFmt w:val="bullet"/>
      <w:lvlText w:val="•"/>
      <w:lvlJc w:val="left"/>
      <w:pPr>
        <w:ind w:left="6272" w:hanging="361"/>
      </w:pPr>
      <w:rPr>
        <w:rFonts w:hint="default"/>
      </w:rPr>
    </w:lvl>
    <w:lvl w:ilvl="7" w:tplc="00D8979E">
      <w:numFmt w:val="bullet"/>
      <w:lvlText w:val="•"/>
      <w:lvlJc w:val="left"/>
      <w:pPr>
        <w:ind w:left="7114" w:hanging="361"/>
      </w:pPr>
      <w:rPr>
        <w:rFonts w:hint="default"/>
      </w:rPr>
    </w:lvl>
    <w:lvl w:ilvl="8" w:tplc="FDE01420">
      <w:numFmt w:val="bullet"/>
      <w:lvlText w:val="•"/>
      <w:lvlJc w:val="left"/>
      <w:pPr>
        <w:ind w:left="7956" w:hanging="361"/>
      </w:pPr>
      <w:rPr>
        <w:rFonts w:hint="default"/>
      </w:rPr>
    </w:lvl>
  </w:abstractNum>
  <w:abstractNum w:abstractNumId="17" w15:restartNumberingAfterBreak="0">
    <w:nsid w:val="290E35FE"/>
    <w:multiLevelType w:val="hybridMultilevel"/>
    <w:tmpl w:val="38EC0990"/>
    <w:numStyleLink w:val="ImportedStyle2"/>
  </w:abstractNum>
  <w:abstractNum w:abstractNumId="18" w15:restartNumberingAfterBreak="0">
    <w:nsid w:val="2C964336"/>
    <w:multiLevelType w:val="hybridMultilevel"/>
    <w:tmpl w:val="5C04977A"/>
    <w:numStyleLink w:val="ImportedStyle1"/>
  </w:abstractNum>
  <w:abstractNum w:abstractNumId="19" w15:restartNumberingAfterBreak="0">
    <w:nsid w:val="343519C0"/>
    <w:multiLevelType w:val="hybridMultilevel"/>
    <w:tmpl w:val="2466A7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C27714B"/>
    <w:multiLevelType w:val="hybridMultilevel"/>
    <w:tmpl w:val="2BD87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23693"/>
    <w:multiLevelType w:val="hybridMultilevel"/>
    <w:tmpl w:val="ABF8D216"/>
    <w:lvl w:ilvl="0" w:tplc="8592A2EA">
      <w:start w:val="1"/>
      <w:numFmt w:val="bullet"/>
      <w:lvlText w:val=""/>
      <w:lvlJc w:val="left"/>
      <w:pPr>
        <w:ind w:left="432" w:hanging="432"/>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F247A"/>
    <w:multiLevelType w:val="hybridMultilevel"/>
    <w:tmpl w:val="22EC267E"/>
    <w:lvl w:ilvl="0" w:tplc="F2928A02">
      <w:start w:val="1"/>
      <w:numFmt w:val="decimal"/>
      <w:lvlText w:val="%1."/>
      <w:lvlJc w:val="left"/>
      <w:pPr>
        <w:ind w:left="1220" w:hanging="360"/>
      </w:pPr>
      <w:rPr>
        <w:rFonts w:ascii="Calibri" w:eastAsia="Calibri" w:hAnsi="Calibri" w:cs="Calibri" w:hint="default"/>
        <w:w w:val="99"/>
        <w:sz w:val="22"/>
        <w:szCs w:val="22"/>
      </w:rPr>
    </w:lvl>
    <w:lvl w:ilvl="1" w:tplc="07E8C292">
      <w:start w:val="1"/>
      <w:numFmt w:val="lowerLetter"/>
      <w:lvlText w:val="%2."/>
      <w:lvlJc w:val="left"/>
      <w:pPr>
        <w:ind w:left="1940" w:hanging="360"/>
      </w:pPr>
      <w:rPr>
        <w:rFonts w:ascii="Calibri" w:eastAsia="Calibri" w:hAnsi="Calibri" w:cs="Calibri" w:hint="default"/>
        <w:w w:val="99"/>
        <w:sz w:val="22"/>
        <w:szCs w:val="22"/>
      </w:rPr>
    </w:lvl>
    <w:lvl w:ilvl="2" w:tplc="EA6A794A">
      <w:start w:val="1"/>
      <w:numFmt w:val="lowerRoman"/>
      <w:lvlText w:val="%3."/>
      <w:lvlJc w:val="left"/>
      <w:pPr>
        <w:ind w:left="2660" w:hanging="286"/>
        <w:jc w:val="right"/>
      </w:pPr>
      <w:rPr>
        <w:rFonts w:ascii="Calibri" w:eastAsia="Calibri" w:hAnsi="Calibri" w:cs="Calibri" w:hint="default"/>
        <w:spacing w:val="-1"/>
        <w:w w:val="99"/>
        <w:sz w:val="22"/>
        <w:szCs w:val="22"/>
      </w:rPr>
    </w:lvl>
    <w:lvl w:ilvl="3" w:tplc="A4840012">
      <w:numFmt w:val="bullet"/>
      <w:lvlText w:val="•"/>
      <w:lvlJc w:val="left"/>
      <w:pPr>
        <w:ind w:left="3532" w:hanging="286"/>
      </w:pPr>
      <w:rPr>
        <w:rFonts w:hint="default"/>
      </w:rPr>
    </w:lvl>
    <w:lvl w:ilvl="4" w:tplc="062E7766">
      <w:numFmt w:val="bullet"/>
      <w:lvlText w:val="•"/>
      <w:lvlJc w:val="left"/>
      <w:pPr>
        <w:ind w:left="4405" w:hanging="286"/>
      </w:pPr>
      <w:rPr>
        <w:rFonts w:hint="default"/>
      </w:rPr>
    </w:lvl>
    <w:lvl w:ilvl="5" w:tplc="F9908C7E">
      <w:numFmt w:val="bullet"/>
      <w:lvlText w:val="•"/>
      <w:lvlJc w:val="left"/>
      <w:pPr>
        <w:ind w:left="5277" w:hanging="286"/>
      </w:pPr>
      <w:rPr>
        <w:rFonts w:hint="default"/>
      </w:rPr>
    </w:lvl>
    <w:lvl w:ilvl="6" w:tplc="273EE80E">
      <w:numFmt w:val="bullet"/>
      <w:lvlText w:val="•"/>
      <w:lvlJc w:val="left"/>
      <w:pPr>
        <w:ind w:left="6150" w:hanging="286"/>
      </w:pPr>
      <w:rPr>
        <w:rFonts w:hint="default"/>
      </w:rPr>
    </w:lvl>
    <w:lvl w:ilvl="7" w:tplc="FD880F56">
      <w:numFmt w:val="bullet"/>
      <w:lvlText w:val="•"/>
      <w:lvlJc w:val="left"/>
      <w:pPr>
        <w:ind w:left="7022" w:hanging="286"/>
      </w:pPr>
      <w:rPr>
        <w:rFonts w:hint="default"/>
      </w:rPr>
    </w:lvl>
    <w:lvl w:ilvl="8" w:tplc="94E499E0">
      <w:numFmt w:val="bullet"/>
      <w:lvlText w:val="•"/>
      <w:lvlJc w:val="left"/>
      <w:pPr>
        <w:ind w:left="7895" w:hanging="286"/>
      </w:pPr>
      <w:rPr>
        <w:rFonts w:hint="default"/>
      </w:rPr>
    </w:lvl>
  </w:abstractNum>
  <w:abstractNum w:abstractNumId="23" w15:restartNumberingAfterBreak="0">
    <w:nsid w:val="4BFF3828"/>
    <w:multiLevelType w:val="multilevel"/>
    <w:tmpl w:val="792889C8"/>
    <w:lvl w:ilvl="0">
      <w:start w:val="1"/>
      <w:numFmt w:val="bullet"/>
      <w:lvlText w:val=""/>
      <w:lvlJc w:val="left"/>
      <w:pPr>
        <w:ind w:left="864" w:hanging="432"/>
      </w:pPr>
      <w:rPr>
        <w:rFonts w:ascii="Symbol" w:hAnsi="Symbol" w:hint="default"/>
        <w:color w:val="808080" w:themeColor="background1" w:themeShade="80"/>
      </w:rPr>
    </w:lvl>
    <w:lvl w:ilvl="1">
      <w:start w:val="1"/>
      <w:numFmt w:val="bullet"/>
      <w:lvlText w:val="o"/>
      <w:lvlJc w:val="left"/>
      <w:pPr>
        <w:ind w:left="1296" w:hanging="432"/>
      </w:pPr>
      <w:rPr>
        <w:rFonts w:ascii="Symbol" w:hAnsi="Symbol" w:hint="default"/>
        <w:sz w:val="18"/>
      </w:rPr>
    </w:lvl>
    <w:lvl w:ilvl="2">
      <w:start w:val="1"/>
      <w:numFmt w:val="bullet"/>
      <w:lvlText w:val=""/>
      <w:lvlJc w:val="left"/>
      <w:pPr>
        <w:ind w:left="1728" w:hanging="432"/>
      </w:pPr>
      <w:rPr>
        <w:rFonts w:ascii="Wingdings" w:hAnsi="Wingdings" w:hint="default"/>
        <w:color w:val="808080" w:themeColor="background1" w:themeShade="80"/>
        <w:sz w:val="18"/>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4C1C0DD1"/>
    <w:multiLevelType w:val="hybridMultilevel"/>
    <w:tmpl w:val="551A2F04"/>
    <w:lvl w:ilvl="0" w:tplc="8592A2EA">
      <w:start w:val="1"/>
      <w:numFmt w:val="bullet"/>
      <w:lvlText w:val=""/>
      <w:lvlJc w:val="left"/>
      <w:pPr>
        <w:tabs>
          <w:tab w:val="num" w:pos="1440"/>
        </w:tabs>
        <w:ind w:left="720" w:firstLine="0"/>
      </w:pPr>
      <w:rPr>
        <w:rFonts w:ascii="Symbol" w:hAnsi="Symbol" w:hint="default"/>
        <w:caps w:val="0"/>
        <w:smallCaps w:val="0"/>
        <w:strike w:val="0"/>
        <w:dstrike w:val="0"/>
        <w:color w:val="808080" w:themeColor="background1" w:themeShade="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A0A66">
      <w:start w:val="1"/>
      <w:numFmt w:val="lowerLetter"/>
      <w:lvlText w:val="%2."/>
      <w:lvlJc w:val="left"/>
      <w:pPr>
        <w:tabs>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22E4A">
      <w:start w:val="1"/>
      <w:numFmt w:val="lowerRoman"/>
      <w:lvlText w:val="%3."/>
      <w:lvlJc w:val="left"/>
      <w:pPr>
        <w:tabs>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EA30FA">
      <w:start w:val="1"/>
      <w:numFmt w:val="decimal"/>
      <w:lvlText w:val="%4."/>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07C0E">
      <w:start w:val="1"/>
      <w:numFmt w:val="lowerLetter"/>
      <w:lvlText w:val="%5."/>
      <w:lvlJc w:val="left"/>
      <w:pPr>
        <w:tabs>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0F67A">
      <w:start w:val="1"/>
      <w:numFmt w:val="lowerRoman"/>
      <w:lvlText w:val="%6."/>
      <w:lvlJc w:val="left"/>
      <w:pPr>
        <w:tabs>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306C3E">
      <w:start w:val="1"/>
      <w:numFmt w:val="decimal"/>
      <w:lvlText w:val="%7."/>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168CAC">
      <w:start w:val="1"/>
      <w:numFmt w:val="lowerLetter"/>
      <w:lvlText w:val="%8."/>
      <w:lvlJc w:val="left"/>
      <w:pPr>
        <w:tabs>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21F6A">
      <w:start w:val="1"/>
      <w:numFmt w:val="lowerRoman"/>
      <w:lvlText w:val="%9."/>
      <w:lvlJc w:val="left"/>
      <w:pPr>
        <w:tabs>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F52167"/>
    <w:multiLevelType w:val="hybridMultilevel"/>
    <w:tmpl w:val="5C04977A"/>
    <w:styleLink w:val="ImportedStyle1"/>
    <w:lvl w:ilvl="0" w:tplc="AFBC675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809184">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5E408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7218E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A532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4112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02D14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241EF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A80C5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4550FB7"/>
    <w:multiLevelType w:val="hybridMultilevel"/>
    <w:tmpl w:val="11F445AC"/>
    <w:lvl w:ilvl="0" w:tplc="4A1EEC66">
      <w:start w:val="1"/>
      <w:numFmt w:val="decimal"/>
      <w:lvlText w:val="%1."/>
      <w:lvlJc w:val="left"/>
      <w:pPr>
        <w:ind w:left="1220" w:hanging="361"/>
      </w:pPr>
      <w:rPr>
        <w:rFonts w:ascii="Calibri" w:eastAsia="Calibri" w:hAnsi="Calibri" w:cs="Calibri" w:hint="default"/>
        <w:w w:val="99"/>
        <w:sz w:val="22"/>
        <w:szCs w:val="22"/>
      </w:rPr>
    </w:lvl>
    <w:lvl w:ilvl="1" w:tplc="95AEAB42">
      <w:start w:val="1"/>
      <w:numFmt w:val="lowerLetter"/>
      <w:lvlText w:val="%2."/>
      <w:lvlJc w:val="left"/>
      <w:pPr>
        <w:ind w:left="1980" w:hanging="360"/>
      </w:pPr>
      <w:rPr>
        <w:rFonts w:ascii="Calibri" w:eastAsia="Calibri" w:hAnsi="Calibri" w:cs="Calibri" w:hint="default"/>
        <w:w w:val="99"/>
        <w:sz w:val="22"/>
        <w:szCs w:val="22"/>
      </w:rPr>
    </w:lvl>
    <w:lvl w:ilvl="2" w:tplc="9C608C52">
      <w:numFmt w:val="bullet"/>
      <w:lvlText w:val="•"/>
      <w:lvlJc w:val="left"/>
      <w:pPr>
        <w:ind w:left="2795" w:hanging="360"/>
      </w:pPr>
      <w:rPr>
        <w:rFonts w:hint="default"/>
      </w:rPr>
    </w:lvl>
    <w:lvl w:ilvl="3" w:tplc="A740F544">
      <w:numFmt w:val="bullet"/>
      <w:lvlText w:val="•"/>
      <w:lvlJc w:val="left"/>
      <w:pPr>
        <w:ind w:left="3651" w:hanging="360"/>
      </w:pPr>
      <w:rPr>
        <w:rFonts w:hint="default"/>
      </w:rPr>
    </w:lvl>
    <w:lvl w:ilvl="4" w:tplc="B2C004CE">
      <w:numFmt w:val="bullet"/>
      <w:lvlText w:val="•"/>
      <w:lvlJc w:val="left"/>
      <w:pPr>
        <w:ind w:left="4506" w:hanging="360"/>
      </w:pPr>
      <w:rPr>
        <w:rFonts w:hint="default"/>
      </w:rPr>
    </w:lvl>
    <w:lvl w:ilvl="5" w:tplc="CC58E996">
      <w:numFmt w:val="bullet"/>
      <w:lvlText w:val="•"/>
      <w:lvlJc w:val="left"/>
      <w:pPr>
        <w:ind w:left="5362" w:hanging="360"/>
      </w:pPr>
      <w:rPr>
        <w:rFonts w:hint="default"/>
      </w:rPr>
    </w:lvl>
    <w:lvl w:ilvl="6" w:tplc="A3F6AA80">
      <w:numFmt w:val="bullet"/>
      <w:lvlText w:val="•"/>
      <w:lvlJc w:val="left"/>
      <w:pPr>
        <w:ind w:left="6217" w:hanging="360"/>
      </w:pPr>
      <w:rPr>
        <w:rFonts w:hint="default"/>
      </w:rPr>
    </w:lvl>
    <w:lvl w:ilvl="7" w:tplc="72D8221C">
      <w:numFmt w:val="bullet"/>
      <w:lvlText w:val="•"/>
      <w:lvlJc w:val="left"/>
      <w:pPr>
        <w:ind w:left="7073" w:hanging="360"/>
      </w:pPr>
      <w:rPr>
        <w:rFonts w:hint="default"/>
      </w:rPr>
    </w:lvl>
    <w:lvl w:ilvl="8" w:tplc="0B286714">
      <w:numFmt w:val="bullet"/>
      <w:lvlText w:val="•"/>
      <w:lvlJc w:val="left"/>
      <w:pPr>
        <w:ind w:left="7928" w:hanging="360"/>
      </w:pPr>
      <w:rPr>
        <w:rFonts w:hint="default"/>
      </w:rPr>
    </w:lvl>
  </w:abstractNum>
  <w:abstractNum w:abstractNumId="27" w15:restartNumberingAfterBreak="0">
    <w:nsid w:val="619F6937"/>
    <w:multiLevelType w:val="multilevel"/>
    <w:tmpl w:val="CB6A55D0"/>
    <w:lvl w:ilvl="0">
      <w:start w:val="1"/>
      <w:numFmt w:val="bullet"/>
      <w:lvlText w:val=""/>
      <w:lvlJc w:val="left"/>
      <w:pPr>
        <w:ind w:left="720" w:hanging="432"/>
      </w:pPr>
      <w:rPr>
        <w:rFonts w:ascii="Symbol" w:hAnsi="Symbol" w:hint="default"/>
        <w:color w:val="808080" w:themeColor="background1" w:themeShade="80"/>
      </w:rPr>
    </w:lvl>
    <w:lvl w:ilvl="1">
      <w:start w:val="1"/>
      <w:numFmt w:val="bullet"/>
      <w:lvlText w:val="o"/>
      <w:lvlJc w:val="left"/>
      <w:pPr>
        <w:ind w:left="1296" w:hanging="432"/>
      </w:pPr>
      <w:rPr>
        <w:rFonts w:ascii="Symbol" w:hAnsi="Symbol" w:hint="default"/>
        <w:sz w:val="18"/>
      </w:rPr>
    </w:lvl>
    <w:lvl w:ilvl="2">
      <w:start w:val="1"/>
      <w:numFmt w:val="bullet"/>
      <w:lvlText w:val=""/>
      <w:lvlJc w:val="left"/>
      <w:pPr>
        <w:ind w:left="1728" w:hanging="432"/>
      </w:pPr>
      <w:rPr>
        <w:rFonts w:ascii="Wingdings" w:hAnsi="Wingdings" w:hint="default"/>
        <w:color w:val="808080" w:themeColor="background1" w:themeShade="80"/>
        <w:sz w:val="18"/>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8" w15:restartNumberingAfterBreak="0">
    <w:nsid w:val="62093C3D"/>
    <w:multiLevelType w:val="multilevel"/>
    <w:tmpl w:val="17E4E460"/>
    <w:lvl w:ilvl="0">
      <w:start w:val="1"/>
      <w:numFmt w:val="bullet"/>
      <w:lvlText w:val=""/>
      <w:lvlJc w:val="left"/>
      <w:pPr>
        <w:ind w:left="864" w:hanging="432"/>
      </w:pPr>
      <w:rPr>
        <w:rFonts w:ascii="Symbol" w:hAnsi="Symbol" w:hint="default"/>
        <w:color w:val="808080" w:themeColor="background1" w:themeShade="8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2B631A8"/>
    <w:multiLevelType w:val="hybridMultilevel"/>
    <w:tmpl w:val="45D2D8A6"/>
    <w:lvl w:ilvl="0" w:tplc="93B055BC">
      <w:start w:val="1"/>
      <w:numFmt w:val="bullet"/>
      <w:lvlText w:val=""/>
      <w:lvlJc w:val="left"/>
      <w:pPr>
        <w:ind w:left="864" w:hanging="432"/>
      </w:pPr>
      <w:rPr>
        <w:rFonts w:ascii="Symbol" w:hAnsi="Symbol" w:hint="default"/>
        <w:color w:val="808080" w:themeColor="background1" w:themeShade="80"/>
        <w:sz w:val="18"/>
      </w:rPr>
    </w:lvl>
    <w:lvl w:ilvl="1" w:tplc="E29ADCF0">
      <w:start w:val="1"/>
      <w:numFmt w:val="bullet"/>
      <w:lvlText w:val="o"/>
      <w:lvlJc w:val="left"/>
      <w:pPr>
        <w:ind w:left="1296" w:hanging="432"/>
      </w:pPr>
      <w:rPr>
        <w:rFonts w:ascii="Symbol" w:hAnsi="Symbol" w:hint="default"/>
        <w:strike w:val="0"/>
        <w:sz w:val="18"/>
      </w:rPr>
    </w:lvl>
    <w:lvl w:ilvl="2" w:tplc="3DC07786">
      <w:start w:val="1"/>
      <w:numFmt w:val="bullet"/>
      <w:lvlText w:val=""/>
      <w:lvlJc w:val="left"/>
      <w:pPr>
        <w:ind w:left="1728" w:hanging="432"/>
      </w:pPr>
      <w:rPr>
        <w:rFonts w:ascii="Wingdings" w:hAnsi="Wingdings" w:hint="default"/>
        <w:color w:val="808080" w:themeColor="background1" w:themeShade="80"/>
        <w:sz w:val="18"/>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9856892"/>
    <w:multiLevelType w:val="multilevel"/>
    <w:tmpl w:val="07D48BC6"/>
    <w:lvl w:ilvl="0">
      <w:start w:val="1"/>
      <w:numFmt w:val="bullet"/>
      <w:lvlText w:val=""/>
      <w:lvlJc w:val="left"/>
      <w:pPr>
        <w:ind w:left="720" w:hanging="432"/>
      </w:pPr>
      <w:rPr>
        <w:rFonts w:ascii="Symbol" w:hAnsi="Symbol" w:hint="default"/>
        <w:color w:val="808080" w:themeColor="background1" w:themeShade="80"/>
      </w:rPr>
    </w:lvl>
    <w:lvl w:ilvl="1">
      <w:start w:val="1"/>
      <w:numFmt w:val="bullet"/>
      <w:lvlText w:val="o"/>
      <w:lvlJc w:val="left"/>
      <w:pPr>
        <w:ind w:left="1296" w:hanging="432"/>
      </w:pPr>
      <w:rPr>
        <w:rFonts w:ascii="Symbol" w:hAnsi="Symbol" w:hint="default"/>
        <w:sz w:val="18"/>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1" w15:restartNumberingAfterBreak="0">
    <w:nsid w:val="6BF14698"/>
    <w:multiLevelType w:val="hybridMultilevel"/>
    <w:tmpl w:val="98848C66"/>
    <w:lvl w:ilvl="0" w:tplc="143A5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546424"/>
    <w:multiLevelType w:val="hybridMultilevel"/>
    <w:tmpl w:val="EE12EDA6"/>
    <w:numStyleLink w:val="ImportedStyle10"/>
  </w:abstractNum>
  <w:abstractNum w:abstractNumId="33" w15:restartNumberingAfterBreak="0">
    <w:nsid w:val="79A328B4"/>
    <w:multiLevelType w:val="hybridMultilevel"/>
    <w:tmpl w:val="BBB2533E"/>
    <w:lvl w:ilvl="0" w:tplc="04090001">
      <w:start w:val="1"/>
      <w:numFmt w:val="bullet"/>
      <w:lvlText w:val=""/>
      <w:lvlJc w:val="left"/>
      <w:pPr>
        <w:tabs>
          <w:tab w:val="num" w:pos="1440"/>
        </w:tabs>
        <w:ind w:left="720" w:firstLine="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8A0A66">
      <w:start w:val="1"/>
      <w:numFmt w:val="lowerLetter"/>
      <w:lvlText w:val="%2."/>
      <w:lvlJc w:val="left"/>
      <w:pPr>
        <w:tabs>
          <w:tab w:val="num" w:pos="216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222E4A">
      <w:start w:val="1"/>
      <w:numFmt w:val="lowerRoman"/>
      <w:lvlText w:val="%3."/>
      <w:lvlJc w:val="left"/>
      <w:pPr>
        <w:tabs>
          <w:tab w:val="num" w:pos="2880"/>
        </w:tabs>
        <w:ind w:left="216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EA30FA">
      <w:start w:val="1"/>
      <w:numFmt w:val="decimal"/>
      <w:lvlText w:val="%4."/>
      <w:lvlJc w:val="left"/>
      <w:pPr>
        <w:tabs>
          <w:tab w:val="num" w:pos="360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607C0E">
      <w:start w:val="1"/>
      <w:numFmt w:val="lowerLetter"/>
      <w:lvlText w:val="%5."/>
      <w:lvlJc w:val="left"/>
      <w:pPr>
        <w:tabs>
          <w:tab w:val="num" w:pos="43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0F67A">
      <w:start w:val="1"/>
      <w:numFmt w:val="lowerRoman"/>
      <w:lvlText w:val="%6."/>
      <w:lvlJc w:val="left"/>
      <w:pPr>
        <w:tabs>
          <w:tab w:val="num" w:pos="5040"/>
        </w:tabs>
        <w:ind w:left="432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306C3E">
      <w:start w:val="1"/>
      <w:numFmt w:val="decimal"/>
      <w:lvlText w:val="%7."/>
      <w:lvlJc w:val="left"/>
      <w:pPr>
        <w:tabs>
          <w:tab w:val="num" w:pos="576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168CAC">
      <w:start w:val="1"/>
      <w:numFmt w:val="lowerLetter"/>
      <w:lvlText w:val="%8."/>
      <w:lvlJc w:val="left"/>
      <w:pPr>
        <w:tabs>
          <w:tab w:val="num" w:pos="648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21F6A">
      <w:start w:val="1"/>
      <w:numFmt w:val="lowerRoman"/>
      <w:lvlText w:val="%9."/>
      <w:lvlJc w:val="left"/>
      <w:pPr>
        <w:tabs>
          <w:tab w:val="num" w:pos="7200"/>
        </w:tabs>
        <w:ind w:left="6480" w:firstLine="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5"/>
  </w:num>
  <w:num w:numId="2">
    <w:abstractNumId w:val="18"/>
  </w:num>
  <w:num w:numId="3">
    <w:abstractNumId w:val="14"/>
  </w:num>
  <w:num w:numId="4">
    <w:abstractNumId w:val="17"/>
    <w:lvlOverride w:ilvl="0">
      <w:lvl w:ilvl="0" w:tplc="BEAA3B4C">
        <w:start w:val="1"/>
        <w:numFmt w:val="decimal"/>
        <w:lvlText w:val="%1."/>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1A6FCD0">
        <w:start w:val="1"/>
        <w:numFmt w:val="lowerLetter"/>
        <w:lvlText w:val="%2."/>
        <w:lvlJc w:val="left"/>
        <w:pPr>
          <w:tabs>
            <w:tab w:val="num" w:pos="2160"/>
          </w:tabs>
          <w:ind w:left="14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CD46AEA">
        <w:start w:val="1"/>
        <w:numFmt w:val="lowerRoman"/>
        <w:lvlText w:val="%3."/>
        <w:lvlJc w:val="left"/>
        <w:pPr>
          <w:tabs>
            <w:tab w:val="num" w:pos="2880"/>
          </w:tabs>
          <w:ind w:left="2160" w:firstLine="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FDA87E2">
        <w:start w:val="1"/>
        <w:numFmt w:val="decimal"/>
        <w:lvlText w:val="%4."/>
        <w:lvlJc w:val="left"/>
        <w:pPr>
          <w:tabs>
            <w:tab w:val="num" w:pos="3600"/>
          </w:tabs>
          <w:ind w:left="28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A7AFB92">
        <w:start w:val="1"/>
        <w:numFmt w:val="lowerLetter"/>
        <w:lvlText w:val="%5."/>
        <w:lvlJc w:val="left"/>
        <w:pPr>
          <w:tabs>
            <w:tab w:val="num" w:pos="4320"/>
          </w:tabs>
          <w:ind w:left="36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342B854">
        <w:start w:val="1"/>
        <w:numFmt w:val="lowerRoman"/>
        <w:lvlText w:val="%6."/>
        <w:lvlJc w:val="left"/>
        <w:pPr>
          <w:tabs>
            <w:tab w:val="num" w:pos="5040"/>
          </w:tabs>
          <w:ind w:left="4320" w:firstLine="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6A09064">
        <w:start w:val="1"/>
        <w:numFmt w:val="decimal"/>
        <w:lvlText w:val="%7."/>
        <w:lvlJc w:val="left"/>
        <w:pPr>
          <w:tabs>
            <w:tab w:val="num" w:pos="5760"/>
          </w:tabs>
          <w:ind w:left="50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55A0CEA">
        <w:start w:val="1"/>
        <w:numFmt w:val="lowerLetter"/>
        <w:lvlText w:val="%8."/>
        <w:lvlJc w:val="left"/>
        <w:pPr>
          <w:tabs>
            <w:tab w:val="num" w:pos="6480"/>
          </w:tabs>
          <w:ind w:left="57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76A8A8A">
        <w:start w:val="1"/>
        <w:numFmt w:val="lowerRoman"/>
        <w:lvlText w:val="%9."/>
        <w:lvlJc w:val="left"/>
        <w:pPr>
          <w:tabs>
            <w:tab w:val="num" w:pos="7200"/>
          </w:tabs>
          <w:ind w:left="6480" w:firstLine="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8"/>
    <w:lvlOverride w:ilvl="0">
      <w:lvl w:ilvl="0" w:tplc="6D668144">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5AADB24">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54FA98">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1CB2CC">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E6705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1617E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402B676">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C8EA1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283964">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32"/>
  </w:num>
  <w:num w:numId="8">
    <w:abstractNumId w:val="32"/>
    <w:lvlOverride w:ilvl="0">
      <w:lvl w:ilvl="0" w:tplc="A24CCAF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282368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BEECD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FA2BCC2">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33EB49A">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CD67E7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6DE97C8">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EDA2A4C">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FE0AE6">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7"/>
    <w:lvlOverride w:ilvl="0">
      <w:startOverride w:val="2"/>
    </w:lvlOverride>
  </w:num>
  <w:num w:numId="10">
    <w:abstractNumId w:val="18"/>
    <w:lvlOverride w:ilvl="0">
      <w:lvl w:ilvl="0" w:tplc="6D668144">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5AADB24">
        <w:start w:val="1"/>
        <w:numFmt w:val="bullet"/>
        <w:lvlText w:val="o"/>
        <w:lvlJc w:val="left"/>
        <w:pPr>
          <w:tabs>
            <w:tab w:val="num" w:pos="1440"/>
          </w:tabs>
          <w:ind w:left="7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54FA98">
        <w:start w:val="1"/>
        <w:numFmt w:val="bullet"/>
        <w:lvlText w:val="▪"/>
        <w:lvlJc w:val="left"/>
        <w:pPr>
          <w:tabs>
            <w:tab w:val="num" w:pos="2160"/>
          </w:tabs>
          <w:ind w:left="14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1CB2CC">
        <w:start w:val="1"/>
        <w:numFmt w:val="bullet"/>
        <w:lvlText w:val="•"/>
        <w:lvlJc w:val="left"/>
        <w:pPr>
          <w:tabs>
            <w:tab w:val="num" w:pos="2880"/>
          </w:tabs>
          <w:ind w:left="21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E67054">
        <w:start w:val="1"/>
        <w:numFmt w:val="bullet"/>
        <w:lvlText w:val="o"/>
        <w:lvlJc w:val="left"/>
        <w:pPr>
          <w:tabs>
            <w:tab w:val="num" w:pos="3600"/>
          </w:tabs>
          <w:ind w:left="288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11617E4">
        <w:start w:val="1"/>
        <w:numFmt w:val="bullet"/>
        <w:lvlText w:val="▪"/>
        <w:lvlJc w:val="left"/>
        <w:pPr>
          <w:tabs>
            <w:tab w:val="num" w:pos="4320"/>
          </w:tabs>
          <w:ind w:left="360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402B676">
        <w:start w:val="1"/>
        <w:numFmt w:val="bullet"/>
        <w:lvlText w:val="•"/>
        <w:lvlJc w:val="left"/>
        <w:pPr>
          <w:tabs>
            <w:tab w:val="num" w:pos="5040"/>
          </w:tabs>
          <w:ind w:left="432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C8EA1E">
        <w:start w:val="1"/>
        <w:numFmt w:val="bullet"/>
        <w:lvlText w:val="o"/>
        <w:lvlJc w:val="left"/>
        <w:pPr>
          <w:tabs>
            <w:tab w:val="num" w:pos="5760"/>
          </w:tabs>
          <w:ind w:left="504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2283964">
        <w:start w:val="1"/>
        <w:numFmt w:val="bullet"/>
        <w:lvlText w:val="▪"/>
        <w:lvlJc w:val="left"/>
        <w:pPr>
          <w:tabs>
            <w:tab w:val="num" w:pos="6480"/>
          </w:tabs>
          <w:ind w:left="5760" w:firstLine="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7"/>
  </w:num>
  <w:num w:numId="12">
    <w:abstractNumId w:val="0"/>
  </w:num>
  <w:num w:numId="13">
    <w:abstractNumId w:val="1"/>
  </w:num>
  <w:num w:numId="14">
    <w:abstractNumId w:val="2"/>
  </w:num>
  <w:num w:numId="15">
    <w:abstractNumId w:val="3"/>
  </w:num>
  <w:num w:numId="16">
    <w:abstractNumId w:val="8"/>
  </w:num>
  <w:num w:numId="17">
    <w:abstractNumId w:val="4"/>
  </w:num>
  <w:num w:numId="18">
    <w:abstractNumId w:val="5"/>
  </w:num>
  <w:num w:numId="19">
    <w:abstractNumId w:val="6"/>
  </w:num>
  <w:num w:numId="20">
    <w:abstractNumId w:val="7"/>
  </w:num>
  <w:num w:numId="21">
    <w:abstractNumId w:val="9"/>
  </w:num>
  <w:num w:numId="22">
    <w:abstractNumId w:val="21"/>
  </w:num>
  <w:num w:numId="23">
    <w:abstractNumId w:val="29"/>
  </w:num>
  <w:num w:numId="24">
    <w:abstractNumId w:val="33"/>
  </w:num>
  <w:num w:numId="25">
    <w:abstractNumId w:val="24"/>
  </w:num>
  <w:num w:numId="26">
    <w:abstractNumId w:val="10"/>
  </w:num>
  <w:num w:numId="27">
    <w:abstractNumId w:val="20"/>
  </w:num>
  <w:num w:numId="28">
    <w:abstractNumId w:val="15"/>
  </w:num>
  <w:num w:numId="29">
    <w:abstractNumId w:val="13"/>
  </w:num>
  <w:num w:numId="30">
    <w:abstractNumId w:val="30"/>
  </w:num>
  <w:num w:numId="31">
    <w:abstractNumId w:val="27"/>
  </w:num>
  <w:num w:numId="32">
    <w:abstractNumId w:val="12"/>
  </w:num>
  <w:num w:numId="33">
    <w:abstractNumId w:val="23"/>
  </w:num>
  <w:num w:numId="34">
    <w:abstractNumId w:val="28"/>
  </w:num>
  <w:num w:numId="35">
    <w:abstractNumId w:val="26"/>
  </w:num>
  <w:num w:numId="36">
    <w:abstractNumId w:val="22"/>
  </w:num>
  <w:num w:numId="37">
    <w:abstractNumId w:val="16"/>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wMDU0szQ3NjSxNDZU0lEKTi0uzszPAykwrQUAExtLmSwAAAA="/>
    <w:docVar w:name="zzmp10NoTrailerPromptID" w:val="DB1.111091296.1"/>
  </w:docVars>
  <w:rsids>
    <w:rsidRoot w:val="00B865B2"/>
    <w:rsid w:val="000029AE"/>
    <w:rsid w:val="00011388"/>
    <w:rsid w:val="0001177C"/>
    <w:rsid w:val="00013E34"/>
    <w:rsid w:val="0002643C"/>
    <w:rsid w:val="00027F5E"/>
    <w:rsid w:val="00027FA6"/>
    <w:rsid w:val="00033658"/>
    <w:rsid w:val="000355DE"/>
    <w:rsid w:val="00054F91"/>
    <w:rsid w:val="0005760D"/>
    <w:rsid w:val="00067EE5"/>
    <w:rsid w:val="000851F1"/>
    <w:rsid w:val="00091111"/>
    <w:rsid w:val="000970E5"/>
    <w:rsid w:val="000B3860"/>
    <w:rsid w:val="000B6563"/>
    <w:rsid w:val="000C3048"/>
    <w:rsid w:val="000C57E5"/>
    <w:rsid w:val="000D2070"/>
    <w:rsid w:val="000D265C"/>
    <w:rsid w:val="000D53CA"/>
    <w:rsid w:val="000D677C"/>
    <w:rsid w:val="000D780B"/>
    <w:rsid w:val="000E1A31"/>
    <w:rsid w:val="000E1CA8"/>
    <w:rsid w:val="000E7DC8"/>
    <w:rsid w:val="00105521"/>
    <w:rsid w:val="0011027E"/>
    <w:rsid w:val="00121FDC"/>
    <w:rsid w:val="00132ADA"/>
    <w:rsid w:val="00134C28"/>
    <w:rsid w:val="00157DA2"/>
    <w:rsid w:val="0016137F"/>
    <w:rsid w:val="001621EA"/>
    <w:rsid w:val="001708AB"/>
    <w:rsid w:val="00172DCB"/>
    <w:rsid w:val="001929E7"/>
    <w:rsid w:val="001A030B"/>
    <w:rsid w:val="001A234F"/>
    <w:rsid w:val="001A66D7"/>
    <w:rsid w:val="001A717D"/>
    <w:rsid w:val="001C2562"/>
    <w:rsid w:val="001C7E10"/>
    <w:rsid w:val="001D40CF"/>
    <w:rsid w:val="001D666C"/>
    <w:rsid w:val="001E04C0"/>
    <w:rsid w:val="001E0FE2"/>
    <w:rsid w:val="001E21EC"/>
    <w:rsid w:val="001E6407"/>
    <w:rsid w:val="002020C7"/>
    <w:rsid w:val="0020642A"/>
    <w:rsid w:val="0023089B"/>
    <w:rsid w:val="00254DDE"/>
    <w:rsid w:val="00264B01"/>
    <w:rsid w:val="00265BE4"/>
    <w:rsid w:val="00272E5C"/>
    <w:rsid w:val="00274EFE"/>
    <w:rsid w:val="002909BE"/>
    <w:rsid w:val="00294843"/>
    <w:rsid w:val="00294EAD"/>
    <w:rsid w:val="002A1263"/>
    <w:rsid w:val="002B13B5"/>
    <w:rsid w:val="002B22D8"/>
    <w:rsid w:val="002C4302"/>
    <w:rsid w:val="002C4F55"/>
    <w:rsid w:val="002C50DE"/>
    <w:rsid w:val="002D4920"/>
    <w:rsid w:val="002D5427"/>
    <w:rsid w:val="002D588A"/>
    <w:rsid w:val="002D6EE1"/>
    <w:rsid w:val="002D73DE"/>
    <w:rsid w:val="002F0F7D"/>
    <w:rsid w:val="002F7954"/>
    <w:rsid w:val="003046BD"/>
    <w:rsid w:val="0031137A"/>
    <w:rsid w:val="00317EBF"/>
    <w:rsid w:val="00331DA3"/>
    <w:rsid w:val="00334CA2"/>
    <w:rsid w:val="00336A68"/>
    <w:rsid w:val="0034646C"/>
    <w:rsid w:val="003534AA"/>
    <w:rsid w:val="003662F8"/>
    <w:rsid w:val="003970DE"/>
    <w:rsid w:val="003A36F8"/>
    <w:rsid w:val="003A44AC"/>
    <w:rsid w:val="003B7B94"/>
    <w:rsid w:val="003D312F"/>
    <w:rsid w:val="003D61E0"/>
    <w:rsid w:val="003E0656"/>
    <w:rsid w:val="00405887"/>
    <w:rsid w:val="00416E0F"/>
    <w:rsid w:val="004232A7"/>
    <w:rsid w:val="00432995"/>
    <w:rsid w:val="00434C5D"/>
    <w:rsid w:val="004423B7"/>
    <w:rsid w:val="004515A8"/>
    <w:rsid w:val="00483771"/>
    <w:rsid w:val="004B32E7"/>
    <w:rsid w:val="004C075E"/>
    <w:rsid w:val="004C0853"/>
    <w:rsid w:val="004C64F9"/>
    <w:rsid w:val="004D7B95"/>
    <w:rsid w:val="004F186B"/>
    <w:rsid w:val="00502D55"/>
    <w:rsid w:val="0051081B"/>
    <w:rsid w:val="00516F62"/>
    <w:rsid w:val="00526699"/>
    <w:rsid w:val="00561197"/>
    <w:rsid w:val="00570A40"/>
    <w:rsid w:val="00577494"/>
    <w:rsid w:val="00577584"/>
    <w:rsid w:val="00582CE5"/>
    <w:rsid w:val="005839DA"/>
    <w:rsid w:val="005932B5"/>
    <w:rsid w:val="00594295"/>
    <w:rsid w:val="005A1C85"/>
    <w:rsid w:val="005B0B15"/>
    <w:rsid w:val="005B35FF"/>
    <w:rsid w:val="005B6CB5"/>
    <w:rsid w:val="005C3730"/>
    <w:rsid w:val="005C4938"/>
    <w:rsid w:val="005C691C"/>
    <w:rsid w:val="005D5DA5"/>
    <w:rsid w:val="005D622C"/>
    <w:rsid w:val="005E4FAE"/>
    <w:rsid w:val="005F5002"/>
    <w:rsid w:val="005F508C"/>
    <w:rsid w:val="005F6C00"/>
    <w:rsid w:val="006432F0"/>
    <w:rsid w:val="00646976"/>
    <w:rsid w:val="00654698"/>
    <w:rsid w:val="00654CA1"/>
    <w:rsid w:val="00656F14"/>
    <w:rsid w:val="00665E67"/>
    <w:rsid w:val="006768A3"/>
    <w:rsid w:val="00683873"/>
    <w:rsid w:val="00694F30"/>
    <w:rsid w:val="00697936"/>
    <w:rsid w:val="006A11FD"/>
    <w:rsid w:val="006B6567"/>
    <w:rsid w:val="006C05CE"/>
    <w:rsid w:val="006C2997"/>
    <w:rsid w:val="006C56E5"/>
    <w:rsid w:val="006E3E0F"/>
    <w:rsid w:val="00706249"/>
    <w:rsid w:val="00712797"/>
    <w:rsid w:val="00712CB7"/>
    <w:rsid w:val="00713610"/>
    <w:rsid w:val="007257A5"/>
    <w:rsid w:val="007346D2"/>
    <w:rsid w:val="0074098B"/>
    <w:rsid w:val="00747D0D"/>
    <w:rsid w:val="0075157B"/>
    <w:rsid w:val="0075289A"/>
    <w:rsid w:val="00754997"/>
    <w:rsid w:val="00756E2A"/>
    <w:rsid w:val="007640F1"/>
    <w:rsid w:val="00765ADF"/>
    <w:rsid w:val="00766D19"/>
    <w:rsid w:val="00777F96"/>
    <w:rsid w:val="00780B13"/>
    <w:rsid w:val="00783091"/>
    <w:rsid w:val="00783186"/>
    <w:rsid w:val="00787B41"/>
    <w:rsid w:val="007A24F7"/>
    <w:rsid w:val="007A2BDF"/>
    <w:rsid w:val="007A36A7"/>
    <w:rsid w:val="007A749D"/>
    <w:rsid w:val="007B3A72"/>
    <w:rsid w:val="007C36B5"/>
    <w:rsid w:val="007D6E03"/>
    <w:rsid w:val="008019D9"/>
    <w:rsid w:val="0082043D"/>
    <w:rsid w:val="00824DFC"/>
    <w:rsid w:val="00825AB0"/>
    <w:rsid w:val="008511EC"/>
    <w:rsid w:val="008957DF"/>
    <w:rsid w:val="008A7408"/>
    <w:rsid w:val="008A7756"/>
    <w:rsid w:val="008B1319"/>
    <w:rsid w:val="008B3FEB"/>
    <w:rsid w:val="008B4FBC"/>
    <w:rsid w:val="008B5909"/>
    <w:rsid w:val="008C0004"/>
    <w:rsid w:val="008D1FB1"/>
    <w:rsid w:val="008D46D6"/>
    <w:rsid w:val="008E4680"/>
    <w:rsid w:val="008E7CD7"/>
    <w:rsid w:val="008F528F"/>
    <w:rsid w:val="0090679F"/>
    <w:rsid w:val="0091206B"/>
    <w:rsid w:val="009159C9"/>
    <w:rsid w:val="00924E91"/>
    <w:rsid w:val="00926D94"/>
    <w:rsid w:val="00931032"/>
    <w:rsid w:val="00935282"/>
    <w:rsid w:val="00936724"/>
    <w:rsid w:val="0093757A"/>
    <w:rsid w:val="0094515A"/>
    <w:rsid w:val="009463AC"/>
    <w:rsid w:val="00990BAB"/>
    <w:rsid w:val="00994B96"/>
    <w:rsid w:val="00995D61"/>
    <w:rsid w:val="00997F94"/>
    <w:rsid w:val="009A348B"/>
    <w:rsid w:val="009A572A"/>
    <w:rsid w:val="009B0DAC"/>
    <w:rsid w:val="009B236D"/>
    <w:rsid w:val="009C2069"/>
    <w:rsid w:val="009E6D0D"/>
    <w:rsid w:val="00A026E7"/>
    <w:rsid w:val="00A1196D"/>
    <w:rsid w:val="00A119EA"/>
    <w:rsid w:val="00A15392"/>
    <w:rsid w:val="00A234A4"/>
    <w:rsid w:val="00A258F1"/>
    <w:rsid w:val="00A3132D"/>
    <w:rsid w:val="00A35735"/>
    <w:rsid w:val="00A433AB"/>
    <w:rsid w:val="00A4614E"/>
    <w:rsid w:val="00A5260F"/>
    <w:rsid w:val="00A60310"/>
    <w:rsid w:val="00A67394"/>
    <w:rsid w:val="00A67629"/>
    <w:rsid w:val="00A70548"/>
    <w:rsid w:val="00A82B0E"/>
    <w:rsid w:val="00A8485E"/>
    <w:rsid w:val="00A84874"/>
    <w:rsid w:val="00A864DF"/>
    <w:rsid w:val="00A9260E"/>
    <w:rsid w:val="00AA20F9"/>
    <w:rsid w:val="00AB08B8"/>
    <w:rsid w:val="00AB22BE"/>
    <w:rsid w:val="00AB28C1"/>
    <w:rsid w:val="00AC2091"/>
    <w:rsid w:val="00AC4BAA"/>
    <w:rsid w:val="00AE3FBA"/>
    <w:rsid w:val="00AF025C"/>
    <w:rsid w:val="00AF77E1"/>
    <w:rsid w:val="00B03960"/>
    <w:rsid w:val="00B111FB"/>
    <w:rsid w:val="00B1531C"/>
    <w:rsid w:val="00B32D13"/>
    <w:rsid w:val="00B35305"/>
    <w:rsid w:val="00B51997"/>
    <w:rsid w:val="00B55B3C"/>
    <w:rsid w:val="00B76636"/>
    <w:rsid w:val="00B865B2"/>
    <w:rsid w:val="00B9208C"/>
    <w:rsid w:val="00B942DB"/>
    <w:rsid w:val="00B94394"/>
    <w:rsid w:val="00BA0AAF"/>
    <w:rsid w:val="00BA155E"/>
    <w:rsid w:val="00BA5AF4"/>
    <w:rsid w:val="00BB0282"/>
    <w:rsid w:val="00BB14E7"/>
    <w:rsid w:val="00BB3201"/>
    <w:rsid w:val="00BB4198"/>
    <w:rsid w:val="00BC7E2C"/>
    <w:rsid w:val="00BD0540"/>
    <w:rsid w:val="00BD4E16"/>
    <w:rsid w:val="00BF1F54"/>
    <w:rsid w:val="00BF1FA9"/>
    <w:rsid w:val="00C0424D"/>
    <w:rsid w:val="00C12337"/>
    <w:rsid w:val="00C13731"/>
    <w:rsid w:val="00C1601A"/>
    <w:rsid w:val="00C20B24"/>
    <w:rsid w:val="00C265A5"/>
    <w:rsid w:val="00C30264"/>
    <w:rsid w:val="00C33DC1"/>
    <w:rsid w:val="00C3580F"/>
    <w:rsid w:val="00C42334"/>
    <w:rsid w:val="00C51136"/>
    <w:rsid w:val="00C56E03"/>
    <w:rsid w:val="00C71D26"/>
    <w:rsid w:val="00C75542"/>
    <w:rsid w:val="00C803DC"/>
    <w:rsid w:val="00C80963"/>
    <w:rsid w:val="00C8203F"/>
    <w:rsid w:val="00C90776"/>
    <w:rsid w:val="00C97EA7"/>
    <w:rsid w:val="00CA19E9"/>
    <w:rsid w:val="00CB4169"/>
    <w:rsid w:val="00CD5B18"/>
    <w:rsid w:val="00CE3725"/>
    <w:rsid w:val="00CF4A39"/>
    <w:rsid w:val="00D01C78"/>
    <w:rsid w:val="00D070BD"/>
    <w:rsid w:val="00D15192"/>
    <w:rsid w:val="00D153D0"/>
    <w:rsid w:val="00D155FB"/>
    <w:rsid w:val="00D22EFD"/>
    <w:rsid w:val="00D3490B"/>
    <w:rsid w:val="00D55C3D"/>
    <w:rsid w:val="00D56747"/>
    <w:rsid w:val="00D64C11"/>
    <w:rsid w:val="00D74E0B"/>
    <w:rsid w:val="00D75E1E"/>
    <w:rsid w:val="00DA3F68"/>
    <w:rsid w:val="00DA3F7C"/>
    <w:rsid w:val="00DA4D33"/>
    <w:rsid w:val="00DA7191"/>
    <w:rsid w:val="00DB1A6B"/>
    <w:rsid w:val="00DB7F04"/>
    <w:rsid w:val="00DC07F6"/>
    <w:rsid w:val="00DC2EEA"/>
    <w:rsid w:val="00DC3159"/>
    <w:rsid w:val="00DD75E2"/>
    <w:rsid w:val="00DE0353"/>
    <w:rsid w:val="00DE6049"/>
    <w:rsid w:val="00DF31D1"/>
    <w:rsid w:val="00E02FF7"/>
    <w:rsid w:val="00E053CF"/>
    <w:rsid w:val="00E079D0"/>
    <w:rsid w:val="00E12631"/>
    <w:rsid w:val="00E247C8"/>
    <w:rsid w:val="00E271F8"/>
    <w:rsid w:val="00E27FE8"/>
    <w:rsid w:val="00E32236"/>
    <w:rsid w:val="00E346AF"/>
    <w:rsid w:val="00E36FEA"/>
    <w:rsid w:val="00E4455E"/>
    <w:rsid w:val="00E44F1C"/>
    <w:rsid w:val="00E67404"/>
    <w:rsid w:val="00E730DE"/>
    <w:rsid w:val="00E739F0"/>
    <w:rsid w:val="00E74CA6"/>
    <w:rsid w:val="00E833CF"/>
    <w:rsid w:val="00EA2FF9"/>
    <w:rsid w:val="00EB1B06"/>
    <w:rsid w:val="00EB27B6"/>
    <w:rsid w:val="00EB793D"/>
    <w:rsid w:val="00ED6C4A"/>
    <w:rsid w:val="00EF41CF"/>
    <w:rsid w:val="00F07D04"/>
    <w:rsid w:val="00F11F1D"/>
    <w:rsid w:val="00F2384D"/>
    <w:rsid w:val="00F3061A"/>
    <w:rsid w:val="00F323DA"/>
    <w:rsid w:val="00F33FA8"/>
    <w:rsid w:val="00F427DB"/>
    <w:rsid w:val="00F555E4"/>
    <w:rsid w:val="00F6357A"/>
    <w:rsid w:val="00F722F6"/>
    <w:rsid w:val="00F80526"/>
    <w:rsid w:val="00F85960"/>
    <w:rsid w:val="00F9173E"/>
    <w:rsid w:val="00FB4792"/>
    <w:rsid w:val="00FC51F2"/>
    <w:rsid w:val="00FE7C7F"/>
    <w:rsid w:val="00FF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4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DACBaseStyle"/>
    <w:next w:val="DACParagraph"/>
    <w:link w:val="Heading1Char"/>
    <w:uiPriority w:val="9"/>
    <w:qFormat/>
    <w:rsid w:val="00AC2091"/>
    <w:pPr>
      <w:keepNext/>
      <w:keepLines/>
      <w:spacing w:before="120"/>
      <w:jc w:val="center"/>
      <w:outlineLvl w:val="0"/>
    </w:pPr>
    <w:rPr>
      <w:rFonts w:eastAsiaTheme="majorEastAsia" w:cstheme="majorBidi"/>
      <w:b/>
      <w:color w:val="auto"/>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BodyAA">
    <w:name w:val="Body A A"/>
    <w:pPr>
      <w:spacing w:after="160" w:line="259" w:lineRule="auto"/>
    </w:pPr>
    <w:rPr>
      <w:rFonts w:ascii="Arial" w:eastAsia="Arial" w:hAnsi="Arial" w:cs="Arial"/>
      <w:color w:val="000000"/>
      <w:sz w:val="28"/>
      <w:szCs w:val="28"/>
      <w:u w:color="000000"/>
      <w:lang w:val="de-D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uiPriority w:val="34"/>
    <w:qFormat/>
    <w:rsid w:val="004F186B"/>
    <w:pPr>
      <w:ind w:left="864" w:hanging="432"/>
    </w:pPr>
    <w:rPr>
      <w:rFonts w:ascii="Charter" w:hAnsi="Charter"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basedOn w:val="DACBaseStyle"/>
    <w:rsid w:val="00054F91"/>
    <w:pPr>
      <w:spacing w:after="40" w:line="280" w:lineRule="exact"/>
    </w:pPr>
    <w:rPr>
      <w:rFonts w:eastAsia="Times New Roman"/>
      <w:sz w:val="22"/>
    </w:rPr>
  </w:style>
  <w:style w:type="numbering" w:customStyle="1" w:styleId="ImportedStyle2">
    <w:name w:val="Imported Style 2"/>
    <w:pPr>
      <w:numPr>
        <w:numId w:val="3"/>
      </w:numPr>
    </w:pPr>
  </w:style>
  <w:style w:type="numbering" w:customStyle="1" w:styleId="ImportedStyle10">
    <w:name w:val="Imported Style 1.0"/>
    <w:pPr>
      <w:numPr>
        <w:numId w:val="6"/>
      </w:numPr>
    </w:pPr>
  </w:style>
  <w:style w:type="character" w:customStyle="1" w:styleId="None">
    <w:name w:val="None"/>
  </w:style>
  <w:style w:type="character" w:customStyle="1" w:styleId="Hyperlink0">
    <w:name w:val="Hyperlink.0"/>
    <w:basedOn w:val="None"/>
    <w:rPr>
      <w:rFonts w:ascii="Georgia" w:eastAsia="Georgia" w:hAnsi="Georgia" w:cs="Georgia"/>
      <w:color w:val="000000"/>
      <w:u w:val="none" w:color="000000"/>
      <w14:textOutline w14:w="0" w14:cap="rnd" w14:cmpd="sng" w14:algn="ctr">
        <w14:noFill/>
        <w14:prstDash w14:val="solid"/>
        <w14:bevel/>
      </w14:textOutline>
    </w:rPr>
  </w:style>
  <w:style w:type="character" w:customStyle="1" w:styleId="Hyperlink1">
    <w:name w:val="Hyperlink.1"/>
    <w:basedOn w:val="None"/>
    <w:rPr>
      <w:rFonts w:ascii="Georgia" w:eastAsia="Georgia" w:hAnsi="Georgia" w:cs="Georgia"/>
      <w:color w:val="000000"/>
      <w:u w:val="single" w:color="000000"/>
      <w14:textOutline w14:w="0" w14:cap="rnd" w14:cmpd="sng" w14:algn="ctr">
        <w14:noFill/>
        <w14:prstDash w14:val="solid"/>
        <w14:bevel/>
      </w14:textOutline>
    </w:rPr>
  </w:style>
  <w:style w:type="character" w:customStyle="1" w:styleId="Link">
    <w:name w:val="Link"/>
    <w:rPr>
      <w:color w:val="0000FF"/>
      <w:u w:val="single" w:color="0000FF"/>
      <w:lang w:val="en-US"/>
      <w14:textOutline w14:w="0" w14:cap="rnd"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42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3B7"/>
    <w:rPr>
      <w:rFonts w:ascii="Segoe UI" w:hAnsi="Segoe UI" w:cs="Segoe UI"/>
      <w:sz w:val="18"/>
      <w:szCs w:val="18"/>
    </w:rPr>
  </w:style>
  <w:style w:type="character" w:styleId="FootnoteReference">
    <w:name w:val="footnote reference"/>
    <w:basedOn w:val="DefaultParagraphFont"/>
    <w:uiPriority w:val="99"/>
    <w:unhideWhenUsed/>
    <w:rsid w:val="00783091"/>
    <w:rPr>
      <w:vertAlign w:val="superscript"/>
    </w:rPr>
  </w:style>
  <w:style w:type="paragraph" w:styleId="CommentSubject">
    <w:name w:val="annotation subject"/>
    <w:basedOn w:val="CommentText"/>
    <w:next w:val="CommentText"/>
    <w:link w:val="CommentSubjectChar"/>
    <w:uiPriority w:val="99"/>
    <w:semiHidden/>
    <w:unhideWhenUsed/>
    <w:rsid w:val="007640F1"/>
    <w:rPr>
      <w:b/>
      <w:bCs/>
    </w:rPr>
  </w:style>
  <w:style w:type="character" w:customStyle="1" w:styleId="CommentSubjectChar">
    <w:name w:val="Comment Subject Char"/>
    <w:basedOn w:val="CommentTextChar"/>
    <w:link w:val="CommentSubject"/>
    <w:uiPriority w:val="99"/>
    <w:semiHidden/>
    <w:rsid w:val="007640F1"/>
    <w:rPr>
      <w:b/>
      <w:bCs/>
    </w:rPr>
  </w:style>
  <w:style w:type="paragraph" w:customStyle="1" w:styleId="DACBaseStyle">
    <w:name w:val="DAC Base Style"/>
    <w:qFormat/>
    <w:rsid w:val="00AC2091"/>
    <w:pPr>
      <w:spacing w:after="60" w:line="300" w:lineRule="exact"/>
    </w:pPr>
    <w:rPr>
      <w:rFonts w:ascii="Charter" w:hAnsi="Charter" w:cs="Arial Unicode MS"/>
      <w:color w:val="000000"/>
      <w:sz w:val="24"/>
      <w:szCs w:val="24"/>
      <w:u w:color="000000"/>
      <w14:textOutline w14:w="12700" w14:cap="flat" w14:cmpd="sng" w14:algn="ctr">
        <w14:noFill/>
        <w14:prstDash w14:val="solid"/>
        <w14:miter w14:lim="400000"/>
      </w14:textOutline>
    </w:rPr>
  </w:style>
  <w:style w:type="paragraph" w:customStyle="1" w:styleId="DACParagraph">
    <w:name w:val="DAC Paragraph"/>
    <w:basedOn w:val="DACBaseStyle"/>
    <w:qFormat/>
    <w:rsid w:val="005C4938"/>
    <w:pPr>
      <w:spacing w:after="80"/>
      <w:ind w:firstLine="432"/>
    </w:pPr>
    <w:rPr>
      <w:bCs/>
    </w:rPr>
  </w:style>
  <w:style w:type="paragraph" w:customStyle="1" w:styleId="DACTitle">
    <w:name w:val="DAC Title"/>
    <w:basedOn w:val="DACBaseStyle"/>
    <w:qFormat/>
    <w:rsid w:val="00AC2091"/>
    <w:pPr>
      <w:spacing w:after="120"/>
      <w:jc w:val="center"/>
    </w:pPr>
    <w:rPr>
      <w:b/>
      <w:bCs/>
    </w:rPr>
  </w:style>
  <w:style w:type="character" w:customStyle="1" w:styleId="Heading1Char">
    <w:name w:val="Heading 1 Char"/>
    <w:basedOn w:val="DefaultParagraphFont"/>
    <w:link w:val="Heading1"/>
    <w:uiPriority w:val="9"/>
    <w:rsid w:val="00AC2091"/>
    <w:rPr>
      <w:rFonts w:ascii="Charter" w:eastAsiaTheme="majorEastAsia" w:hAnsi="Charter" w:cstheme="majorBidi"/>
      <w:b/>
      <w:sz w:val="24"/>
      <w:szCs w:val="32"/>
      <w:u w:color="000000"/>
      <w14:textOutline w14:w="12700" w14:cap="flat" w14:cmpd="sng" w14:algn="ctr">
        <w14:noFill/>
        <w14:prstDash w14:val="solid"/>
        <w14:miter w14:lim="400000"/>
      </w14:textOutline>
    </w:rPr>
  </w:style>
  <w:style w:type="paragraph" w:customStyle="1" w:styleId="DACBlockquote">
    <w:name w:val="DAC Blockquote"/>
    <w:basedOn w:val="DACParagraph"/>
    <w:qFormat/>
    <w:rsid w:val="005C4938"/>
    <w:pPr>
      <w:ind w:left="1296" w:right="1296" w:firstLine="0"/>
      <w:jc w:val="both"/>
    </w:pPr>
  </w:style>
  <w:style w:type="paragraph" w:styleId="NormalWeb">
    <w:name w:val="Normal (Web)"/>
    <w:basedOn w:val="Normal"/>
    <w:uiPriority w:val="99"/>
    <w:semiHidden/>
    <w:unhideWhenUsed/>
    <w:rsid w:val="00054F91"/>
  </w:style>
  <w:style w:type="character" w:customStyle="1" w:styleId="UnresolvedMention1">
    <w:name w:val="Unresolved Mention1"/>
    <w:basedOn w:val="DefaultParagraphFont"/>
    <w:uiPriority w:val="99"/>
    <w:semiHidden/>
    <w:unhideWhenUsed/>
    <w:rsid w:val="00F80526"/>
    <w:rPr>
      <w:color w:val="605E5C"/>
      <w:shd w:val="clear" w:color="auto" w:fill="E1DFDD"/>
    </w:rPr>
  </w:style>
  <w:style w:type="paragraph" w:styleId="Revision">
    <w:name w:val="Revision"/>
    <w:hidden/>
    <w:uiPriority w:val="99"/>
    <w:semiHidden/>
    <w:rsid w:val="006768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BodyText">
    <w:name w:val="Body Text"/>
    <w:basedOn w:val="Normal"/>
    <w:link w:val="BodyTextChar"/>
    <w:uiPriority w:val="1"/>
    <w:qFormat/>
    <w:rsid w:val="003662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00" w:hanging="761"/>
    </w:pPr>
    <w:rPr>
      <w:rFonts w:ascii="Calibri" w:hAnsi="Calibri" w:cs="Calibri"/>
      <w:sz w:val="22"/>
      <w:szCs w:val="22"/>
    </w:rPr>
  </w:style>
  <w:style w:type="character" w:customStyle="1" w:styleId="BodyTextChar">
    <w:name w:val="Body Text Char"/>
    <w:basedOn w:val="DefaultParagraphFont"/>
    <w:link w:val="BodyText"/>
    <w:uiPriority w:val="1"/>
    <w:rsid w:val="003662F8"/>
    <w:rPr>
      <w:rFonts w:ascii="Calibri" w:hAnsi="Calibri" w:cs="Calibri"/>
      <w:sz w:val="22"/>
      <w:szCs w:val="22"/>
    </w:rPr>
  </w:style>
  <w:style w:type="paragraph" w:styleId="Header">
    <w:name w:val="header"/>
    <w:basedOn w:val="Normal"/>
    <w:link w:val="HeaderChar"/>
    <w:uiPriority w:val="99"/>
    <w:unhideWhenUsed/>
    <w:rsid w:val="00995D61"/>
    <w:pPr>
      <w:tabs>
        <w:tab w:val="center" w:pos="4680"/>
        <w:tab w:val="right" w:pos="9360"/>
      </w:tabs>
    </w:pPr>
  </w:style>
  <w:style w:type="character" w:customStyle="1" w:styleId="HeaderChar">
    <w:name w:val="Header Char"/>
    <w:basedOn w:val="DefaultParagraphFont"/>
    <w:link w:val="Header"/>
    <w:uiPriority w:val="99"/>
    <w:rsid w:val="00995D61"/>
    <w:rPr>
      <w:sz w:val="24"/>
      <w:szCs w:val="24"/>
    </w:rPr>
  </w:style>
  <w:style w:type="paragraph" w:styleId="Footer">
    <w:name w:val="footer"/>
    <w:basedOn w:val="Normal"/>
    <w:link w:val="FooterChar"/>
    <w:uiPriority w:val="99"/>
    <w:unhideWhenUsed/>
    <w:rsid w:val="00995D61"/>
    <w:pPr>
      <w:tabs>
        <w:tab w:val="center" w:pos="4680"/>
        <w:tab w:val="right" w:pos="9360"/>
      </w:tabs>
    </w:pPr>
  </w:style>
  <w:style w:type="character" w:customStyle="1" w:styleId="FooterChar">
    <w:name w:val="Footer Char"/>
    <w:basedOn w:val="DefaultParagraphFont"/>
    <w:link w:val="Footer"/>
    <w:uiPriority w:val="99"/>
    <w:rsid w:val="00995D61"/>
    <w:rPr>
      <w:sz w:val="24"/>
      <w:szCs w:val="24"/>
    </w:rPr>
  </w:style>
  <w:style w:type="character" w:styleId="PageNumber">
    <w:name w:val="page number"/>
    <w:basedOn w:val="DefaultParagraphFont"/>
    <w:uiPriority w:val="99"/>
    <w:semiHidden/>
    <w:unhideWhenUsed/>
    <w:rsid w:val="00995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4296">
      <w:bodyDiv w:val="1"/>
      <w:marLeft w:val="0"/>
      <w:marRight w:val="0"/>
      <w:marTop w:val="0"/>
      <w:marBottom w:val="0"/>
      <w:divBdr>
        <w:top w:val="none" w:sz="0" w:space="0" w:color="auto"/>
        <w:left w:val="none" w:sz="0" w:space="0" w:color="auto"/>
        <w:bottom w:val="none" w:sz="0" w:space="0" w:color="auto"/>
        <w:right w:val="none" w:sz="0" w:space="0" w:color="auto"/>
      </w:divBdr>
      <w:divsChild>
        <w:div w:id="977422272">
          <w:marLeft w:val="0"/>
          <w:marRight w:val="0"/>
          <w:marTop w:val="0"/>
          <w:marBottom w:val="0"/>
          <w:divBdr>
            <w:top w:val="none" w:sz="0" w:space="0" w:color="auto"/>
            <w:left w:val="none" w:sz="0" w:space="0" w:color="auto"/>
            <w:bottom w:val="none" w:sz="0" w:space="0" w:color="auto"/>
            <w:right w:val="none" w:sz="0" w:space="0" w:color="auto"/>
          </w:divBdr>
          <w:divsChild>
            <w:div w:id="1261258602">
              <w:marLeft w:val="0"/>
              <w:marRight w:val="0"/>
              <w:marTop w:val="0"/>
              <w:marBottom w:val="0"/>
              <w:divBdr>
                <w:top w:val="none" w:sz="0" w:space="0" w:color="auto"/>
                <w:left w:val="none" w:sz="0" w:space="0" w:color="auto"/>
                <w:bottom w:val="none" w:sz="0" w:space="0" w:color="auto"/>
                <w:right w:val="none" w:sz="0" w:space="0" w:color="auto"/>
              </w:divBdr>
            </w:div>
          </w:divsChild>
        </w:div>
        <w:div w:id="386758576">
          <w:marLeft w:val="0"/>
          <w:marRight w:val="0"/>
          <w:marTop w:val="0"/>
          <w:marBottom w:val="0"/>
          <w:divBdr>
            <w:top w:val="none" w:sz="0" w:space="0" w:color="auto"/>
            <w:left w:val="none" w:sz="0" w:space="0" w:color="auto"/>
            <w:bottom w:val="none" w:sz="0" w:space="0" w:color="auto"/>
            <w:right w:val="none" w:sz="0" w:space="0" w:color="auto"/>
          </w:divBdr>
          <w:divsChild>
            <w:div w:id="667093864">
              <w:marLeft w:val="0"/>
              <w:marRight w:val="0"/>
              <w:marTop w:val="0"/>
              <w:marBottom w:val="0"/>
              <w:divBdr>
                <w:top w:val="none" w:sz="0" w:space="0" w:color="auto"/>
                <w:left w:val="none" w:sz="0" w:space="0" w:color="auto"/>
                <w:bottom w:val="none" w:sz="0" w:space="0" w:color="auto"/>
                <w:right w:val="none" w:sz="0" w:space="0" w:color="auto"/>
              </w:divBdr>
            </w:div>
          </w:divsChild>
        </w:div>
        <w:div w:id="1840270583">
          <w:marLeft w:val="0"/>
          <w:marRight w:val="0"/>
          <w:marTop w:val="0"/>
          <w:marBottom w:val="0"/>
          <w:divBdr>
            <w:top w:val="none" w:sz="0" w:space="0" w:color="auto"/>
            <w:left w:val="none" w:sz="0" w:space="0" w:color="auto"/>
            <w:bottom w:val="none" w:sz="0" w:space="0" w:color="auto"/>
            <w:right w:val="none" w:sz="0" w:space="0" w:color="auto"/>
          </w:divBdr>
          <w:divsChild>
            <w:div w:id="925772068">
              <w:marLeft w:val="0"/>
              <w:marRight w:val="0"/>
              <w:marTop w:val="0"/>
              <w:marBottom w:val="0"/>
              <w:divBdr>
                <w:top w:val="none" w:sz="0" w:space="0" w:color="auto"/>
                <w:left w:val="none" w:sz="0" w:space="0" w:color="auto"/>
                <w:bottom w:val="none" w:sz="0" w:space="0" w:color="auto"/>
                <w:right w:val="none" w:sz="0" w:space="0" w:color="auto"/>
              </w:divBdr>
            </w:div>
          </w:divsChild>
        </w:div>
        <w:div w:id="1643004914">
          <w:marLeft w:val="0"/>
          <w:marRight w:val="0"/>
          <w:marTop w:val="0"/>
          <w:marBottom w:val="0"/>
          <w:divBdr>
            <w:top w:val="none" w:sz="0" w:space="0" w:color="auto"/>
            <w:left w:val="none" w:sz="0" w:space="0" w:color="auto"/>
            <w:bottom w:val="none" w:sz="0" w:space="0" w:color="auto"/>
            <w:right w:val="none" w:sz="0" w:space="0" w:color="auto"/>
          </w:divBdr>
          <w:divsChild>
            <w:div w:id="998192931">
              <w:marLeft w:val="0"/>
              <w:marRight w:val="0"/>
              <w:marTop w:val="0"/>
              <w:marBottom w:val="0"/>
              <w:divBdr>
                <w:top w:val="none" w:sz="0" w:space="0" w:color="auto"/>
                <w:left w:val="none" w:sz="0" w:space="0" w:color="auto"/>
                <w:bottom w:val="none" w:sz="0" w:space="0" w:color="auto"/>
                <w:right w:val="none" w:sz="0" w:space="0" w:color="auto"/>
              </w:divBdr>
            </w:div>
          </w:divsChild>
        </w:div>
        <w:div w:id="285090440">
          <w:marLeft w:val="0"/>
          <w:marRight w:val="0"/>
          <w:marTop w:val="0"/>
          <w:marBottom w:val="0"/>
          <w:divBdr>
            <w:top w:val="none" w:sz="0" w:space="0" w:color="auto"/>
            <w:left w:val="none" w:sz="0" w:space="0" w:color="auto"/>
            <w:bottom w:val="none" w:sz="0" w:space="0" w:color="auto"/>
            <w:right w:val="none" w:sz="0" w:space="0" w:color="auto"/>
          </w:divBdr>
          <w:divsChild>
            <w:div w:id="947006978">
              <w:marLeft w:val="0"/>
              <w:marRight w:val="0"/>
              <w:marTop w:val="0"/>
              <w:marBottom w:val="0"/>
              <w:divBdr>
                <w:top w:val="none" w:sz="0" w:space="0" w:color="auto"/>
                <w:left w:val="none" w:sz="0" w:space="0" w:color="auto"/>
                <w:bottom w:val="none" w:sz="0" w:space="0" w:color="auto"/>
                <w:right w:val="none" w:sz="0" w:space="0" w:color="auto"/>
              </w:divBdr>
            </w:div>
          </w:divsChild>
        </w:div>
        <w:div w:id="293875438">
          <w:marLeft w:val="0"/>
          <w:marRight w:val="0"/>
          <w:marTop w:val="0"/>
          <w:marBottom w:val="0"/>
          <w:divBdr>
            <w:top w:val="none" w:sz="0" w:space="0" w:color="auto"/>
            <w:left w:val="none" w:sz="0" w:space="0" w:color="auto"/>
            <w:bottom w:val="none" w:sz="0" w:space="0" w:color="auto"/>
            <w:right w:val="none" w:sz="0" w:space="0" w:color="auto"/>
          </w:divBdr>
          <w:divsChild>
            <w:div w:id="1149052547">
              <w:marLeft w:val="0"/>
              <w:marRight w:val="0"/>
              <w:marTop w:val="0"/>
              <w:marBottom w:val="0"/>
              <w:divBdr>
                <w:top w:val="none" w:sz="0" w:space="0" w:color="auto"/>
                <w:left w:val="none" w:sz="0" w:space="0" w:color="auto"/>
                <w:bottom w:val="none" w:sz="0" w:space="0" w:color="auto"/>
                <w:right w:val="none" w:sz="0" w:space="0" w:color="auto"/>
              </w:divBdr>
            </w:div>
          </w:divsChild>
        </w:div>
        <w:div w:id="853882803">
          <w:marLeft w:val="0"/>
          <w:marRight w:val="0"/>
          <w:marTop w:val="0"/>
          <w:marBottom w:val="0"/>
          <w:divBdr>
            <w:top w:val="none" w:sz="0" w:space="0" w:color="auto"/>
            <w:left w:val="none" w:sz="0" w:space="0" w:color="auto"/>
            <w:bottom w:val="none" w:sz="0" w:space="0" w:color="auto"/>
            <w:right w:val="none" w:sz="0" w:space="0" w:color="auto"/>
          </w:divBdr>
          <w:divsChild>
            <w:div w:id="1730883385">
              <w:marLeft w:val="0"/>
              <w:marRight w:val="0"/>
              <w:marTop w:val="0"/>
              <w:marBottom w:val="0"/>
              <w:divBdr>
                <w:top w:val="none" w:sz="0" w:space="0" w:color="auto"/>
                <w:left w:val="none" w:sz="0" w:space="0" w:color="auto"/>
                <w:bottom w:val="none" w:sz="0" w:space="0" w:color="auto"/>
                <w:right w:val="none" w:sz="0" w:space="0" w:color="auto"/>
              </w:divBdr>
            </w:div>
          </w:divsChild>
        </w:div>
        <w:div w:id="1973049163">
          <w:marLeft w:val="0"/>
          <w:marRight w:val="0"/>
          <w:marTop w:val="0"/>
          <w:marBottom w:val="0"/>
          <w:divBdr>
            <w:top w:val="none" w:sz="0" w:space="0" w:color="auto"/>
            <w:left w:val="none" w:sz="0" w:space="0" w:color="auto"/>
            <w:bottom w:val="none" w:sz="0" w:space="0" w:color="auto"/>
            <w:right w:val="none" w:sz="0" w:space="0" w:color="auto"/>
          </w:divBdr>
        </w:div>
      </w:divsChild>
    </w:div>
    <w:div w:id="238751917">
      <w:bodyDiv w:val="1"/>
      <w:marLeft w:val="0"/>
      <w:marRight w:val="0"/>
      <w:marTop w:val="0"/>
      <w:marBottom w:val="0"/>
      <w:divBdr>
        <w:top w:val="none" w:sz="0" w:space="0" w:color="auto"/>
        <w:left w:val="none" w:sz="0" w:space="0" w:color="auto"/>
        <w:bottom w:val="none" w:sz="0" w:space="0" w:color="auto"/>
        <w:right w:val="none" w:sz="0" w:space="0" w:color="auto"/>
      </w:divBdr>
    </w:div>
    <w:div w:id="319651211">
      <w:bodyDiv w:val="1"/>
      <w:marLeft w:val="0"/>
      <w:marRight w:val="0"/>
      <w:marTop w:val="0"/>
      <w:marBottom w:val="0"/>
      <w:divBdr>
        <w:top w:val="none" w:sz="0" w:space="0" w:color="auto"/>
        <w:left w:val="none" w:sz="0" w:space="0" w:color="auto"/>
        <w:bottom w:val="none" w:sz="0" w:space="0" w:color="auto"/>
        <w:right w:val="none" w:sz="0" w:space="0" w:color="auto"/>
      </w:divBdr>
    </w:div>
    <w:div w:id="394544836">
      <w:bodyDiv w:val="1"/>
      <w:marLeft w:val="0"/>
      <w:marRight w:val="0"/>
      <w:marTop w:val="0"/>
      <w:marBottom w:val="0"/>
      <w:divBdr>
        <w:top w:val="none" w:sz="0" w:space="0" w:color="auto"/>
        <w:left w:val="none" w:sz="0" w:space="0" w:color="auto"/>
        <w:bottom w:val="none" w:sz="0" w:space="0" w:color="auto"/>
        <w:right w:val="none" w:sz="0" w:space="0" w:color="auto"/>
      </w:divBdr>
    </w:div>
    <w:div w:id="694693790">
      <w:bodyDiv w:val="1"/>
      <w:marLeft w:val="0"/>
      <w:marRight w:val="0"/>
      <w:marTop w:val="0"/>
      <w:marBottom w:val="0"/>
      <w:divBdr>
        <w:top w:val="none" w:sz="0" w:space="0" w:color="auto"/>
        <w:left w:val="none" w:sz="0" w:space="0" w:color="auto"/>
        <w:bottom w:val="none" w:sz="0" w:space="0" w:color="auto"/>
        <w:right w:val="none" w:sz="0" w:space="0" w:color="auto"/>
      </w:divBdr>
    </w:div>
    <w:div w:id="1441602092">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615138630">
      <w:bodyDiv w:val="1"/>
      <w:marLeft w:val="0"/>
      <w:marRight w:val="0"/>
      <w:marTop w:val="0"/>
      <w:marBottom w:val="0"/>
      <w:divBdr>
        <w:top w:val="none" w:sz="0" w:space="0" w:color="auto"/>
        <w:left w:val="none" w:sz="0" w:space="0" w:color="auto"/>
        <w:bottom w:val="none" w:sz="0" w:space="0" w:color="auto"/>
        <w:right w:val="none" w:sz="0" w:space="0" w:color="auto"/>
      </w:divBdr>
      <w:divsChild>
        <w:div w:id="1139691096">
          <w:marLeft w:val="360"/>
          <w:marRight w:val="0"/>
          <w:marTop w:val="200"/>
          <w:marBottom w:val="0"/>
          <w:divBdr>
            <w:top w:val="none" w:sz="0" w:space="0" w:color="auto"/>
            <w:left w:val="none" w:sz="0" w:space="0" w:color="auto"/>
            <w:bottom w:val="none" w:sz="0" w:space="0" w:color="auto"/>
            <w:right w:val="none" w:sz="0" w:space="0" w:color="auto"/>
          </w:divBdr>
        </w:div>
        <w:div w:id="2074547454">
          <w:marLeft w:val="360"/>
          <w:marRight w:val="0"/>
          <w:marTop w:val="200"/>
          <w:marBottom w:val="0"/>
          <w:divBdr>
            <w:top w:val="none" w:sz="0" w:space="0" w:color="auto"/>
            <w:left w:val="none" w:sz="0" w:space="0" w:color="auto"/>
            <w:bottom w:val="none" w:sz="0" w:space="0" w:color="auto"/>
            <w:right w:val="none" w:sz="0" w:space="0" w:color="auto"/>
          </w:divBdr>
        </w:div>
      </w:divsChild>
    </w:div>
    <w:div w:id="1760635541">
      <w:bodyDiv w:val="1"/>
      <w:marLeft w:val="0"/>
      <w:marRight w:val="0"/>
      <w:marTop w:val="0"/>
      <w:marBottom w:val="0"/>
      <w:divBdr>
        <w:top w:val="none" w:sz="0" w:space="0" w:color="auto"/>
        <w:left w:val="none" w:sz="0" w:space="0" w:color="auto"/>
        <w:bottom w:val="none" w:sz="0" w:space="0" w:color="auto"/>
        <w:right w:val="none" w:sz="0" w:space="0" w:color="auto"/>
      </w:divBdr>
      <w:divsChild>
        <w:div w:id="265355523">
          <w:marLeft w:val="0"/>
          <w:marRight w:val="0"/>
          <w:marTop w:val="0"/>
          <w:marBottom w:val="0"/>
          <w:divBdr>
            <w:top w:val="none" w:sz="0" w:space="0" w:color="auto"/>
            <w:left w:val="none" w:sz="0" w:space="0" w:color="auto"/>
            <w:bottom w:val="none" w:sz="0" w:space="0" w:color="auto"/>
            <w:right w:val="none" w:sz="0" w:space="0" w:color="auto"/>
          </w:divBdr>
          <w:divsChild>
            <w:div w:id="1608998198">
              <w:marLeft w:val="0"/>
              <w:marRight w:val="0"/>
              <w:marTop w:val="0"/>
              <w:marBottom w:val="0"/>
              <w:divBdr>
                <w:top w:val="none" w:sz="0" w:space="0" w:color="auto"/>
                <w:left w:val="none" w:sz="0" w:space="0" w:color="auto"/>
                <w:bottom w:val="none" w:sz="0" w:space="0" w:color="auto"/>
                <w:right w:val="none" w:sz="0" w:space="0" w:color="auto"/>
              </w:divBdr>
              <w:divsChild>
                <w:div w:id="17794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8114">
      <w:bodyDiv w:val="1"/>
      <w:marLeft w:val="0"/>
      <w:marRight w:val="0"/>
      <w:marTop w:val="0"/>
      <w:marBottom w:val="0"/>
      <w:divBdr>
        <w:top w:val="none" w:sz="0" w:space="0" w:color="auto"/>
        <w:left w:val="none" w:sz="0" w:space="0" w:color="auto"/>
        <w:bottom w:val="none" w:sz="0" w:space="0" w:color="auto"/>
        <w:right w:val="none" w:sz="0" w:space="0" w:color="auto"/>
      </w:divBdr>
      <w:divsChild>
        <w:div w:id="211119555">
          <w:marLeft w:val="0"/>
          <w:marRight w:val="0"/>
          <w:marTop w:val="0"/>
          <w:marBottom w:val="0"/>
          <w:divBdr>
            <w:top w:val="none" w:sz="0" w:space="0" w:color="auto"/>
            <w:left w:val="none" w:sz="0" w:space="0" w:color="auto"/>
            <w:bottom w:val="none" w:sz="0" w:space="0" w:color="auto"/>
            <w:right w:val="none" w:sz="0" w:space="0" w:color="auto"/>
          </w:divBdr>
          <w:divsChild>
            <w:div w:id="1901550468">
              <w:marLeft w:val="0"/>
              <w:marRight w:val="0"/>
              <w:marTop w:val="0"/>
              <w:marBottom w:val="0"/>
              <w:divBdr>
                <w:top w:val="none" w:sz="0" w:space="0" w:color="auto"/>
                <w:left w:val="none" w:sz="0" w:space="0" w:color="auto"/>
                <w:bottom w:val="none" w:sz="0" w:space="0" w:color="auto"/>
                <w:right w:val="none" w:sz="0" w:space="0" w:color="auto"/>
              </w:divBdr>
              <w:divsChild>
                <w:div w:id="105219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3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01338-F8AD-4F19-B276-F1E6F10A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3184</Words>
  <Characters>18151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2020-03-03T16:10:00Z</dcterms:created>
  <dcterms:modified xsi:type="dcterms:W3CDTF">2020-03-03T16:10:00Z</dcterms:modified>
</cp:coreProperties>
</file>