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91701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5077ED3B" w14:textId="77777777">
        <w:tc>
          <w:tcPr>
            <w:tcW w:w="6570" w:type="dxa"/>
            <w:gridSpan w:val="2"/>
          </w:tcPr>
          <w:p w14:paraId="22844926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47F6EABB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697DD0D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6B0822BF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229F039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0DF197D9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085B0AD8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27BBBDFD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68744B41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="00156DD9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787930" w14:paraId="244A4982" w14:textId="77777777">
        <w:trPr>
          <w:cantSplit/>
        </w:trPr>
        <w:tc>
          <w:tcPr>
            <w:tcW w:w="10170" w:type="dxa"/>
            <w:gridSpan w:val="4"/>
          </w:tcPr>
          <w:p w14:paraId="23D4CA80" w14:textId="77777777" w:rsidR="00DF6653" w:rsidRPr="00787930" w:rsidRDefault="00DF6653">
            <w:pPr>
              <w:rPr>
                <w:b/>
                <w:sz w:val="22"/>
              </w:rPr>
            </w:pPr>
          </w:p>
          <w:p w14:paraId="356950B7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5F8FE98B" w14:textId="77777777">
        <w:trPr>
          <w:cantSplit/>
          <w:trHeight w:val="257"/>
        </w:trPr>
        <w:tc>
          <w:tcPr>
            <w:tcW w:w="1620" w:type="dxa"/>
          </w:tcPr>
          <w:p w14:paraId="50F2CF93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0E1221F5" w14:textId="5F1C42AC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990736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68AD6887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414BE91" w14:textId="77777777">
        <w:trPr>
          <w:cantSplit/>
          <w:trHeight w:val="257"/>
        </w:trPr>
        <w:tc>
          <w:tcPr>
            <w:tcW w:w="1620" w:type="dxa"/>
          </w:tcPr>
          <w:p w14:paraId="2EFF65E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16F5BBD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6C340E4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7C91278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4ADF956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7E74146A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464031F3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67D63B3E" w14:textId="77777777" w:rsidR="00DF6653" w:rsidRPr="00787930" w:rsidRDefault="00DF6653">
      <w:pPr>
        <w:jc w:val="both"/>
        <w:rPr>
          <w:sz w:val="24"/>
        </w:rPr>
      </w:pPr>
    </w:p>
    <w:p w14:paraId="20AB9576" w14:textId="77777777" w:rsidR="00DF6653" w:rsidRPr="00787930" w:rsidRDefault="00DF6653">
      <w:pPr>
        <w:rPr>
          <w:b/>
          <w:sz w:val="24"/>
        </w:rPr>
        <w:sectPr w:rsidR="00DF6653" w:rsidRPr="00787930" w:rsidSect="00476645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7191A4D5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7B6D7ED4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32A78A2C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75F9CC0D" wp14:editId="0B15F83A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BAB6E" w14:textId="4808A8EA" w:rsidR="00830555" w:rsidRPr="003A3644" w:rsidRDefault="00830555" w:rsidP="00830555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A3644">
                              <w:rPr>
                                <w:sz w:val="24"/>
                                <w:szCs w:val="24"/>
                              </w:rPr>
                              <w:t>This document contains an attachment including the USA preliminary view on WRC-</w:t>
                            </w:r>
                            <w:r w:rsidR="00BD2212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 w:rsidRPr="003A3644">
                              <w:rPr>
                                <w:sz w:val="24"/>
                                <w:szCs w:val="24"/>
                              </w:rPr>
                              <w:t xml:space="preserve"> Agenda Item 1.2 (</w:t>
                            </w:r>
                            <w:r w:rsidR="00AF52B2">
                              <w:rPr>
                                <w:sz w:val="24"/>
                                <w:szCs w:val="24"/>
                              </w:rPr>
                              <w:t xml:space="preserve">10-10.5 GHz frequency </w:t>
                            </w:r>
                            <w:r w:rsidRPr="003A3644">
                              <w:rPr>
                                <w:sz w:val="24"/>
                                <w:szCs w:val="24"/>
                              </w:rPr>
                              <w:t xml:space="preserve">band) for consideration in CITEL’s preparation </w:t>
                            </w:r>
                            <w:r w:rsidR="003A3644">
                              <w:rPr>
                                <w:sz w:val="24"/>
                                <w:szCs w:val="24"/>
                              </w:rPr>
                              <w:t>for WRC-23.</w:t>
                            </w:r>
                          </w:p>
                          <w:p w14:paraId="52FC7519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3A252DA1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9CC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554BAB6E" w14:textId="4808A8EA" w:rsidR="00830555" w:rsidRPr="003A3644" w:rsidRDefault="00830555" w:rsidP="00830555">
                      <w:pPr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3A3644">
                        <w:rPr>
                          <w:sz w:val="24"/>
                          <w:szCs w:val="24"/>
                        </w:rPr>
                        <w:t>This document contains an attachment including the USA preliminary view on WRC-</w:t>
                      </w:r>
                      <w:r w:rsidR="00BD2212">
                        <w:rPr>
                          <w:sz w:val="24"/>
                          <w:szCs w:val="24"/>
                        </w:rPr>
                        <w:t>23</w:t>
                      </w:r>
                      <w:bookmarkStart w:id="1" w:name="_GoBack"/>
                      <w:bookmarkEnd w:id="1"/>
                      <w:r w:rsidRPr="003A3644">
                        <w:rPr>
                          <w:sz w:val="24"/>
                          <w:szCs w:val="24"/>
                        </w:rPr>
                        <w:t xml:space="preserve"> Agenda Item 1.2 (</w:t>
                      </w:r>
                      <w:r w:rsidR="00AF52B2">
                        <w:rPr>
                          <w:sz w:val="24"/>
                          <w:szCs w:val="24"/>
                        </w:rPr>
                        <w:t xml:space="preserve">10-10.5 GHz frequency </w:t>
                      </w:r>
                      <w:r w:rsidRPr="003A3644">
                        <w:rPr>
                          <w:sz w:val="24"/>
                          <w:szCs w:val="24"/>
                        </w:rPr>
                        <w:t xml:space="preserve">band) for consideration in CITEL’s preparation </w:t>
                      </w:r>
                      <w:r w:rsidR="003A3644">
                        <w:rPr>
                          <w:sz w:val="24"/>
                          <w:szCs w:val="24"/>
                        </w:rPr>
                        <w:t>for WRC-23.</w:t>
                      </w:r>
                    </w:p>
                    <w:p w14:paraId="52FC7519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3A252DA1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606C76E6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3C1A493F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778BABF" w14:textId="77777777" w:rsidR="003A3644" w:rsidRPr="003A3644" w:rsidRDefault="003A3644" w:rsidP="003A3644">
      <w:pPr>
        <w:widowControl w:val="0"/>
        <w:autoSpaceDE w:val="0"/>
        <w:autoSpaceDN w:val="0"/>
        <w:adjustRightInd w:val="0"/>
        <w:ind w:left="2560"/>
        <w:rPr>
          <w:sz w:val="24"/>
          <w:szCs w:val="24"/>
        </w:rPr>
      </w:pPr>
      <w:r w:rsidRPr="003A3644">
        <w:rPr>
          <w:b/>
          <w:bCs/>
          <w:sz w:val="24"/>
          <w:szCs w:val="24"/>
        </w:rPr>
        <w:lastRenderedPageBreak/>
        <w:t>UNITED STATES OF AMERICA</w:t>
      </w:r>
    </w:p>
    <w:p w14:paraId="4DA10874" w14:textId="77777777" w:rsidR="003A3644" w:rsidRPr="003A3644" w:rsidRDefault="003A3644" w:rsidP="003A36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5CE2687" w14:textId="77777777" w:rsidR="003A3644" w:rsidRPr="003A3644" w:rsidRDefault="003A3644" w:rsidP="003A3644">
      <w:pPr>
        <w:widowControl w:val="0"/>
        <w:autoSpaceDE w:val="0"/>
        <w:autoSpaceDN w:val="0"/>
        <w:adjustRightInd w:val="0"/>
        <w:ind w:left="1800"/>
        <w:rPr>
          <w:sz w:val="24"/>
          <w:szCs w:val="24"/>
        </w:rPr>
      </w:pPr>
      <w:r w:rsidRPr="003A3644">
        <w:rPr>
          <w:b/>
          <w:bCs/>
          <w:sz w:val="24"/>
          <w:szCs w:val="24"/>
        </w:rPr>
        <w:t>DRAFT PRELIMINARY VIEWS FOR WRC-23</w:t>
      </w:r>
    </w:p>
    <w:p w14:paraId="40A8E175" w14:textId="77777777" w:rsidR="003A3644" w:rsidRPr="003A3644" w:rsidRDefault="003A3644" w:rsidP="003A36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9DE2C3B" w14:textId="77777777" w:rsidR="003A3644" w:rsidRPr="003A3644" w:rsidRDefault="003A3644" w:rsidP="003A364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B53AE65" w14:textId="77777777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440"/>
        <w:rPr>
          <w:sz w:val="24"/>
          <w:szCs w:val="24"/>
        </w:rPr>
      </w:pPr>
      <w:r w:rsidRPr="003A3644">
        <w:rPr>
          <w:b/>
          <w:bCs/>
          <w:sz w:val="24"/>
          <w:szCs w:val="24"/>
        </w:rPr>
        <w:t>Agenda Item 1.2</w:t>
      </w:r>
      <w:r w:rsidRPr="003A3644">
        <w:rPr>
          <w:sz w:val="24"/>
          <w:szCs w:val="24"/>
        </w:rPr>
        <w:t xml:space="preserve">:  to consider identification of the frequency bands 3 300-3 400 MHz, 3 600-3 800 MHz, 6 425-7 025 MHz, 7 025-7 125 MHz and 10.0-10.5 GHz for International Mobile Telecommunications (IMT), including possible additional allocations to the mobile service on a primary basis, in accordance with Resolution </w:t>
      </w:r>
      <w:r w:rsidRPr="003A3644">
        <w:rPr>
          <w:b/>
          <w:sz w:val="24"/>
          <w:szCs w:val="24"/>
        </w:rPr>
        <w:t>245 (WRC-19)</w:t>
      </w:r>
    </w:p>
    <w:p w14:paraId="64564629" w14:textId="77777777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</w:p>
    <w:p w14:paraId="5CCE7B31" w14:textId="77777777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</w:p>
    <w:p w14:paraId="78590101" w14:textId="77777777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  <w:r w:rsidRPr="003A3644">
        <w:rPr>
          <w:b/>
          <w:bCs/>
          <w:sz w:val="24"/>
          <w:szCs w:val="24"/>
        </w:rPr>
        <w:t>BACKGROUND</w:t>
      </w:r>
      <w:r w:rsidRPr="003A3644">
        <w:rPr>
          <w:sz w:val="24"/>
          <w:szCs w:val="24"/>
        </w:rPr>
        <w:t>:  Mobile broadband plays a crucial role in providing access to businesses and consumers worldwide.  According to ITU statistics, the number of active mobile-cellular telephone subscriptions per 100 inhabitants continues to grow strongly, reaching 108 subscriptions per 100 inhabitants, with 18.4 percent year-on-year growth for mobile broadband subscriptions.</w:t>
      </w:r>
      <w:r w:rsidRPr="003A3644">
        <w:rPr>
          <w:sz w:val="24"/>
          <w:szCs w:val="24"/>
          <w:vertAlign w:val="superscript"/>
        </w:rPr>
        <w:footnoteReference w:id="1"/>
      </w:r>
      <w:r w:rsidRPr="003A3644">
        <w:rPr>
          <w:sz w:val="24"/>
          <w:szCs w:val="24"/>
        </w:rPr>
        <w:t xml:space="preserve">  Ninety-three percent of the world’s population lives within reach of a mobile broadband service, and the relatively small difference in the number of subscriptions between developed and developing countries demonstrates that connectivity is a priority among people in countries at all levels of development.</w:t>
      </w:r>
      <w:r w:rsidRPr="003A3644">
        <w:rPr>
          <w:sz w:val="24"/>
          <w:szCs w:val="24"/>
          <w:vertAlign w:val="superscript"/>
        </w:rPr>
        <w:footnoteReference w:id="2"/>
      </w:r>
      <w:r w:rsidRPr="003A3644">
        <w:rPr>
          <w:sz w:val="24"/>
          <w:szCs w:val="24"/>
        </w:rPr>
        <w:t xml:space="preserve">  </w:t>
      </w:r>
    </w:p>
    <w:p w14:paraId="09888D63" w14:textId="77777777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</w:p>
    <w:p w14:paraId="56A4B28E" w14:textId="77777777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  <w:r w:rsidRPr="003A3644">
        <w:rPr>
          <w:sz w:val="24"/>
          <w:szCs w:val="24"/>
        </w:rPr>
        <w:t>WRC-23 will consider the possibility of identifying IMT in the bands 3 600-3 800 MHz and 3 300-3 400 MHz (Region 2); 3 300-3 400 MHz (amend footnote in Region 1); 7 025-7 125 MHz (globally); 6 425-7 025 MHz (Region 1); 10 000-10 500 MHz (Region 2).  Sharing and compatibility studies will need to be conducted, with a view to ensuring the protection of existing services to which the frequency band is allocated on a primary basis, without imposing additional regulatory or technical constraints on those services, and also, as appropriate, protection of services in adjacent bands.</w:t>
      </w:r>
    </w:p>
    <w:p w14:paraId="0762D625" w14:textId="77777777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</w:p>
    <w:p w14:paraId="75BDF3C6" w14:textId="0637DF8D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40"/>
        <w:rPr>
          <w:sz w:val="24"/>
          <w:szCs w:val="24"/>
        </w:rPr>
      </w:pPr>
      <w:r w:rsidRPr="003A3644">
        <w:rPr>
          <w:sz w:val="24"/>
          <w:szCs w:val="24"/>
        </w:rPr>
        <w:t>In Region 2, the 10-10.5 GHz frequency range is allocated on a primary basis to the Earth exploration-satellite (active) and radiolocation services, as well as primary allocation to the fixed and mobile services via footnote to numerous countries and is extensively used by a variety of applications of these services, including high-powered and highly-sensitive ground and airborne systems that are operational worldwide.  The United States also operates Earth exploration-satellite (passive) sensors in the nearby 10.6-10.7 GHz band which is shared with fixed and mobile, except aeronautical mobile, services, subject to Resolution </w:t>
      </w:r>
      <w:r w:rsidRPr="003A3644">
        <w:rPr>
          <w:b/>
          <w:bCs/>
          <w:sz w:val="24"/>
          <w:szCs w:val="24"/>
        </w:rPr>
        <w:t>751 (WRC-07)</w:t>
      </w:r>
      <w:r w:rsidRPr="003A3644">
        <w:rPr>
          <w:sz w:val="24"/>
          <w:szCs w:val="24"/>
        </w:rPr>
        <w:t xml:space="preserve">.  </w:t>
      </w:r>
      <w:r w:rsidR="00277B26" w:rsidRPr="007817DF">
        <w:rPr>
          <w:sz w:val="24"/>
          <w:szCs w:val="24"/>
        </w:rPr>
        <w:t>In the U.S., t</w:t>
      </w:r>
      <w:r w:rsidRPr="007817DF">
        <w:rPr>
          <w:sz w:val="24"/>
          <w:szCs w:val="24"/>
        </w:rPr>
        <w:t>here is federal use of the 10-10.5 GHz band for applications of the radiolocation</w:t>
      </w:r>
      <w:r w:rsidR="00277B26" w:rsidRPr="007817DF">
        <w:rPr>
          <w:sz w:val="24"/>
          <w:szCs w:val="24"/>
        </w:rPr>
        <w:t xml:space="preserve"> </w:t>
      </w:r>
      <w:r w:rsidRPr="007817DF">
        <w:rPr>
          <w:sz w:val="24"/>
          <w:szCs w:val="24"/>
        </w:rPr>
        <w:t xml:space="preserve">service. </w:t>
      </w:r>
    </w:p>
    <w:p w14:paraId="133DE4D3" w14:textId="77777777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60"/>
        <w:rPr>
          <w:sz w:val="24"/>
          <w:szCs w:val="24"/>
        </w:rPr>
      </w:pPr>
    </w:p>
    <w:p w14:paraId="488029B9" w14:textId="77777777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60"/>
        <w:rPr>
          <w:sz w:val="24"/>
          <w:szCs w:val="24"/>
        </w:rPr>
      </w:pPr>
    </w:p>
    <w:p w14:paraId="77CD8B73" w14:textId="0B17940C" w:rsidR="003A3644" w:rsidRPr="003A3644" w:rsidRDefault="003A3644" w:rsidP="003A3644">
      <w:pPr>
        <w:widowControl w:val="0"/>
        <w:overflowPunct w:val="0"/>
        <w:autoSpaceDE w:val="0"/>
        <w:autoSpaceDN w:val="0"/>
        <w:adjustRightInd w:val="0"/>
        <w:ind w:right="60"/>
        <w:rPr>
          <w:sz w:val="24"/>
          <w:szCs w:val="24"/>
        </w:rPr>
      </w:pPr>
      <w:r w:rsidRPr="003A3644">
        <w:rPr>
          <w:b/>
          <w:bCs/>
          <w:sz w:val="24"/>
          <w:szCs w:val="24"/>
        </w:rPr>
        <w:t>U.S. VIEW</w:t>
      </w:r>
      <w:r w:rsidRPr="003A3644">
        <w:rPr>
          <w:sz w:val="24"/>
          <w:szCs w:val="24"/>
        </w:rPr>
        <w:t xml:space="preserve">:  The United States supports studies related to a potential IMT identification in the 10-10.5 GHz frequency range (Region 2 only) in accordance with Resolution </w:t>
      </w:r>
      <w:r w:rsidRPr="003A3644">
        <w:rPr>
          <w:b/>
          <w:bCs/>
          <w:sz w:val="24"/>
          <w:szCs w:val="24"/>
        </w:rPr>
        <w:t xml:space="preserve">245 (WRC-19), </w:t>
      </w:r>
      <w:r w:rsidRPr="003A3644">
        <w:rPr>
          <w:sz w:val="24"/>
          <w:szCs w:val="24"/>
        </w:rPr>
        <w:t>while</w:t>
      </w:r>
      <w:r w:rsidRPr="003A3644">
        <w:rPr>
          <w:b/>
          <w:bCs/>
          <w:sz w:val="24"/>
          <w:szCs w:val="24"/>
        </w:rPr>
        <w:t xml:space="preserve"> </w:t>
      </w:r>
      <w:r w:rsidRPr="003A3644">
        <w:rPr>
          <w:sz w:val="24"/>
          <w:szCs w:val="24"/>
        </w:rPr>
        <w:t>ensuring the protection of existing services (in-band and, as appropriate, adjacent bands) without having additional regulatory or technical constraints imposed on these services. Taking the above into account, the United States supports appropriate action.</w:t>
      </w:r>
    </w:p>
    <w:p w14:paraId="236BB48A" w14:textId="77777777" w:rsidR="00DF6653" w:rsidRPr="003A3644" w:rsidRDefault="00DF6653" w:rsidP="003A3644">
      <w:pPr>
        <w:jc w:val="center"/>
        <w:rPr>
          <w:b/>
          <w:sz w:val="24"/>
          <w:szCs w:val="24"/>
        </w:rPr>
      </w:pPr>
    </w:p>
    <w:sectPr w:rsidR="00DF6653" w:rsidRPr="003A3644" w:rsidSect="00E82AC2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7385E" w14:textId="77777777" w:rsidR="005A4A23" w:rsidRDefault="005A4A23">
      <w:r>
        <w:separator/>
      </w:r>
    </w:p>
  </w:endnote>
  <w:endnote w:type="continuationSeparator" w:id="0">
    <w:p w14:paraId="45F504F9" w14:textId="77777777" w:rsidR="005A4A23" w:rsidRDefault="005A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A897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A47236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94AF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9FEC78" w14:textId="0EC55E6F" w:rsidR="007308E1" w:rsidRDefault="007308E1" w:rsidP="00E82AC2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830555">
      <w:rPr>
        <w:noProof/>
        <w:snapToGrid w:val="0"/>
      </w:rPr>
      <w:t>Document3</w:t>
    </w:r>
    <w:r>
      <w:rPr>
        <w:snapToGrid w:val="0"/>
      </w:rP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D2212">
      <w:rPr>
        <w:noProof/>
      </w:rPr>
      <w:t>27.11.20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B5D3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3963317A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2D6DD649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581CD" w14:textId="77777777" w:rsidR="005A4A23" w:rsidRDefault="005A4A23">
      <w:r>
        <w:separator/>
      </w:r>
    </w:p>
  </w:footnote>
  <w:footnote w:type="continuationSeparator" w:id="0">
    <w:p w14:paraId="4EDB019B" w14:textId="77777777" w:rsidR="005A4A23" w:rsidRDefault="005A4A23">
      <w:r>
        <w:continuationSeparator/>
      </w:r>
    </w:p>
  </w:footnote>
  <w:footnote w:id="1">
    <w:p w14:paraId="7D4095A1" w14:textId="77777777" w:rsidR="003A3644" w:rsidRPr="00145A03" w:rsidRDefault="003A3644" w:rsidP="003A3644">
      <w:pPr>
        <w:pStyle w:val="FootnoteText"/>
      </w:pPr>
      <w:r w:rsidRPr="00145A03">
        <w:rPr>
          <w:rStyle w:val="FootnoteReference"/>
        </w:rPr>
        <w:footnoteRef/>
      </w:r>
      <w:r w:rsidRPr="00145A03">
        <w:t xml:space="preserve"> https://www.itu.int/en/ITU-D/Statistics/Documents/facts/FactsFigures2019.pdf</w:t>
      </w:r>
    </w:p>
  </w:footnote>
  <w:footnote w:id="2">
    <w:p w14:paraId="31B9358E" w14:textId="77777777" w:rsidR="003A3644" w:rsidRDefault="003A3644" w:rsidP="003A3644">
      <w:pPr>
        <w:pStyle w:val="FootnoteText"/>
      </w:pPr>
      <w:r w:rsidRPr="00145A03">
        <w:rPr>
          <w:rStyle w:val="FootnoteReference"/>
        </w:rPr>
        <w:footnoteRef/>
      </w:r>
      <w:r w:rsidRPr="00145A03">
        <w:t xml:space="preserve"> https://www.itu.int/en/ITU-D/Statistics/Documents/facts/FactsFigures2019.pdf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2324EB48" w14:textId="77777777" w:rsidTr="0001152F">
      <w:trPr>
        <w:cantSplit/>
        <w:trHeight w:val="1629"/>
      </w:trPr>
      <w:tc>
        <w:tcPr>
          <w:tcW w:w="1958" w:type="dxa"/>
        </w:tcPr>
        <w:p w14:paraId="5DBE2C60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A03B506" wp14:editId="3B447FF8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DEE304C" wp14:editId="45BFC055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shape w14:anchorId="5F41BA5D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684245DB" wp14:editId="517EDF9D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rect w14:anchorId="501EAC51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B5569F2" wp14:editId="66CE2F92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rect w14:anchorId="02872217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0F03D8E5" wp14:editId="21A48F67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shape w14:anchorId="4B703914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411E1D76" wp14:editId="3B5D16CD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rect w14:anchorId="339E5DAA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63B949A5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564B38EC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1ED3AADA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394E1D00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04BB5E7F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5A62E506" w14:textId="77777777" w:rsidR="007308E1" w:rsidRPr="00F91B57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455D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83B77"/>
    <w:rsid w:val="000B7255"/>
    <w:rsid w:val="000B7E78"/>
    <w:rsid w:val="000D4C1A"/>
    <w:rsid w:val="000E33A5"/>
    <w:rsid w:val="00106646"/>
    <w:rsid w:val="00130557"/>
    <w:rsid w:val="00156DD9"/>
    <w:rsid w:val="001A183E"/>
    <w:rsid w:val="001D1909"/>
    <w:rsid w:val="002178DF"/>
    <w:rsid w:val="00217EFA"/>
    <w:rsid w:val="00220543"/>
    <w:rsid w:val="002623C9"/>
    <w:rsid w:val="00277B26"/>
    <w:rsid w:val="002A4514"/>
    <w:rsid w:val="002A631D"/>
    <w:rsid w:val="002C569B"/>
    <w:rsid w:val="002C5EF8"/>
    <w:rsid w:val="002D20E9"/>
    <w:rsid w:val="00313C59"/>
    <w:rsid w:val="003355CC"/>
    <w:rsid w:val="00344FDD"/>
    <w:rsid w:val="00364023"/>
    <w:rsid w:val="003674EA"/>
    <w:rsid w:val="003701A5"/>
    <w:rsid w:val="00370D0B"/>
    <w:rsid w:val="003A11BF"/>
    <w:rsid w:val="003A3644"/>
    <w:rsid w:val="003A6B15"/>
    <w:rsid w:val="003B5116"/>
    <w:rsid w:val="003C5D3F"/>
    <w:rsid w:val="003E7951"/>
    <w:rsid w:val="003F5838"/>
    <w:rsid w:val="003F6646"/>
    <w:rsid w:val="00415804"/>
    <w:rsid w:val="004347FF"/>
    <w:rsid w:val="00436E39"/>
    <w:rsid w:val="00476645"/>
    <w:rsid w:val="004B37D0"/>
    <w:rsid w:val="004B39D5"/>
    <w:rsid w:val="004D5765"/>
    <w:rsid w:val="004F4CB4"/>
    <w:rsid w:val="00517218"/>
    <w:rsid w:val="005175FB"/>
    <w:rsid w:val="0052422F"/>
    <w:rsid w:val="005246E6"/>
    <w:rsid w:val="0053477B"/>
    <w:rsid w:val="00566AFE"/>
    <w:rsid w:val="0057000F"/>
    <w:rsid w:val="00597B0F"/>
    <w:rsid w:val="005A1E4C"/>
    <w:rsid w:val="005A4A23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C59A4"/>
    <w:rsid w:val="006F7C09"/>
    <w:rsid w:val="007043EB"/>
    <w:rsid w:val="007308E1"/>
    <w:rsid w:val="007340C0"/>
    <w:rsid w:val="00744A51"/>
    <w:rsid w:val="00770DF8"/>
    <w:rsid w:val="007817DF"/>
    <w:rsid w:val="00787930"/>
    <w:rsid w:val="007C5067"/>
    <w:rsid w:val="007F209B"/>
    <w:rsid w:val="00824595"/>
    <w:rsid w:val="008264D0"/>
    <w:rsid w:val="00830555"/>
    <w:rsid w:val="0084057A"/>
    <w:rsid w:val="00897200"/>
    <w:rsid w:val="008A5015"/>
    <w:rsid w:val="008A61D6"/>
    <w:rsid w:val="008E0405"/>
    <w:rsid w:val="008F141E"/>
    <w:rsid w:val="00946638"/>
    <w:rsid w:val="0095346A"/>
    <w:rsid w:val="0096396F"/>
    <w:rsid w:val="00972072"/>
    <w:rsid w:val="00990736"/>
    <w:rsid w:val="009B3A2A"/>
    <w:rsid w:val="00A143F4"/>
    <w:rsid w:val="00A30CF5"/>
    <w:rsid w:val="00A4159C"/>
    <w:rsid w:val="00A526D8"/>
    <w:rsid w:val="00A610B7"/>
    <w:rsid w:val="00A72CF3"/>
    <w:rsid w:val="00A85695"/>
    <w:rsid w:val="00AB1A86"/>
    <w:rsid w:val="00AC0B21"/>
    <w:rsid w:val="00AD2B12"/>
    <w:rsid w:val="00AF52B2"/>
    <w:rsid w:val="00B21910"/>
    <w:rsid w:val="00B23630"/>
    <w:rsid w:val="00B42446"/>
    <w:rsid w:val="00B71FAB"/>
    <w:rsid w:val="00B74252"/>
    <w:rsid w:val="00BA42B7"/>
    <w:rsid w:val="00BD2212"/>
    <w:rsid w:val="00C23474"/>
    <w:rsid w:val="00C4469E"/>
    <w:rsid w:val="00C653E5"/>
    <w:rsid w:val="00C704A8"/>
    <w:rsid w:val="00C85ABD"/>
    <w:rsid w:val="00C912AE"/>
    <w:rsid w:val="00C9294D"/>
    <w:rsid w:val="00C96F79"/>
    <w:rsid w:val="00CB0993"/>
    <w:rsid w:val="00CB3D34"/>
    <w:rsid w:val="00CE6B7B"/>
    <w:rsid w:val="00D14898"/>
    <w:rsid w:val="00D273FB"/>
    <w:rsid w:val="00D36422"/>
    <w:rsid w:val="00D5204C"/>
    <w:rsid w:val="00D96B94"/>
    <w:rsid w:val="00DA247E"/>
    <w:rsid w:val="00DB2E83"/>
    <w:rsid w:val="00DC0D0A"/>
    <w:rsid w:val="00DC2F6F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B298E"/>
    <w:rsid w:val="00ED49AA"/>
    <w:rsid w:val="00EE63C1"/>
    <w:rsid w:val="00EF0849"/>
    <w:rsid w:val="00EF7860"/>
    <w:rsid w:val="00F20FDC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6448"/>
    <w:rsid w:val="00FA216B"/>
    <w:rsid w:val="00FB5584"/>
    <w:rsid w:val="00FD739C"/>
    <w:rsid w:val="00FE72D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9AE6B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iPriority w:val="99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uiPriority w:val="99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"/>
    <w:uiPriority w:val="99"/>
    <w:unhideWhenUsed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A3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A3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customXml/itemProps2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CITEL</Company>
  <LinksUpToDate>false</LinksUpToDate>
  <CharactersWithSpaces>3292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4</cp:revision>
  <cp:lastPrinted>1999-10-11T18:56:00Z</cp:lastPrinted>
  <dcterms:created xsi:type="dcterms:W3CDTF">2020-11-09T14:56:00Z</dcterms:created>
  <dcterms:modified xsi:type="dcterms:W3CDTF">2020-11-27T16:36:00Z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