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1A47F02F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D62D87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4C1B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14A29569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D62D87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4C1B86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14A29569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D62D87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4C1B86">
                        <w:rPr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3FB738C0" w14:textId="77777777" w:rsidR="004C1B86" w:rsidRPr="00481471" w:rsidRDefault="004C1B86" w:rsidP="004C1B86">
      <w:pPr>
        <w:spacing w:before="1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UNITED STATES OF AMERICA</w:t>
      </w:r>
    </w:p>
    <w:p w14:paraId="7308E36E" w14:textId="77777777" w:rsidR="004C1B86" w:rsidRPr="00481471" w:rsidRDefault="004C1B86" w:rsidP="004C1B86">
      <w:pPr>
        <w:spacing w:before="1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DRAFT PRELIMINARY VIEW ON WRC-23 AI 1.9</w:t>
      </w:r>
    </w:p>
    <w:p w14:paraId="3709F051" w14:textId="77777777" w:rsidR="004C1B86" w:rsidRPr="00481471" w:rsidRDefault="004C1B86" w:rsidP="004C1B86">
      <w:pPr>
        <w:rPr>
          <w:sz w:val="24"/>
          <w:szCs w:val="24"/>
        </w:rPr>
      </w:pPr>
    </w:p>
    <w:p w14:paraId="135528EC" w14:textId="77777777" w:rsidR="004C1B86" w:rsidRPr="00481471" w:rsidRDefault="004C1B86" w:rsidP="004C1B86">
      <w:pPr>
        <w:rPr>
          <w:sz w:val="24"/>
          <w:szCs w:val="24"/>
        </w:rPr>
      </w:pPr>
    </w:p>
    <w:p w14:paraId="450FA2E0" w14:textId="77777777" w:rsidR="004C1B86" w:rsidRPr="00481471" w:rsidRDefault="004C1B86" w:rsidP="004C1B86">
      <w:pPr>
        <w:pStyle w:val="BodyText"/>
      </w:pPr>
      <w:r w:rsidRPr="00481471">
        <w:rPr>
          <w:b/>
        </w:rPr>
        <w:t>AGENDA ITEM 1.9</w:t>
      </w:r>
      <w:r w:rsidRPr="00481471">
        <w:t xml:space="preserve">: to review Appendix </w:t>
      </w:r>
      <w:r w:rsidRPr="00481471">
        <w:rPr>
          <w:b/>
          <w:bCs/>
        </w:rPr>
        <w:t>27</w:t>
      </w:r>
      <w:r w:rsidRPr="00481471">
        <w:t xml:space="preserve"> of the Radio Regulations and consider appropriate regulatory actions and updates based on ITU-R studies, in order to accommodate digital technologies for commercial aviation safety-of-life applications in existing HF bands allocated to the aeronautical mobile (route) service and ensure coexistence of current HF systems alongside modernized HF systems, in accordance with Resolution </w:t>
      </w:r>
      <w:r w:rsidRPr="00481471">
        <w:rPr>
          <w:b/>
        </w:rPr>
        <w:t>429 (WRC-19)</w:t>
      </w:r>
      <w:r w:rsidRPr="00481471">
        <w:t>.</w:t>
      </w:r>
    </w:p>
    <w:p w14:paraId="03E84D9C" w14:textId="77777777" w:rsidR="004C1B86" w:rsidRPr="00481471" w:rsidRDefault="004C1B86" w:rsidP="004C1B86">
      <w:pPr>
        <w:pStyle w:val="BodyText"/>
        <w:spacing w:before="5"/>
      </w:pPr>
    </w:p>
    <w:p w14:paraId="01F6122C" w14:textId="77777777" w:rsidR="004C1B86" w:rsidRPr="00481471" w:rsidRDefault="004C1B86" w:rsidP="004C1B86">
      <w:pPr>
        <w:pStyle w:val="BodyText"/>
        <w:spacing w:before="120"/>
        <w:ind w:right="187"/>
      </w:pPr>
      <w:r w:rsidRPr="00481471">
        <w:rPr>
          <w:b/>
        </w:rPr>
        <w:t>BACKGROUND</w:t>
      </w:r>
      <w:r w:rsidRPr="00481471">
        <w:t xml:space="preserve">: </w:t>
      </w:r>
    </w:p>
    <w:p w14:paraId="5823D3CF" w14:textId="77777777" w:rsidR="004C1B86" w:rsidRDefault="004C1B86" w:rsidP="004C1B86">
      <w:pPr>
        <w:pStyle w:val="BodyText"/>
        <w:spacing w:before="120"/>
        <w:ind w:right="158"/>
      </w:pPr>
      <w:r w:rsidRPr="00481471">
        <w:rPr>
          <w:bCs/>
        </w:rPr>
        <w:t>A</w:t>
      </w:r>
      <w:r w:rsidRPr="00481471">
        <w:t xml:space="preserve">eronautical high frequency (HF) technologies are evolving, so Appendix </w:t>
      </w:r>
      <w:r w:rsidRPr="00481471">
        <w:rPr>
          <w:b/>
          <w:bCs/>
        </w:rPr>
        <w:t>27</w:t>
      </w:r>
      <w:r w:rsidRPr="00481471">
        <w:t xml:space="preserve"> of the Radio Regulations needs to be </w:t>
      </w:r>
      <w:r>
        <w:t>updated</w:t>
      </w:r>
      <w:r w:rsidRPr="00481471">
        <w:t xml:space="preserve"> to accommodate </w:t>
      </w:r>
      <w:r>
        <w:t xml:space="preserve">new </w:t>
      </w:r>
      <w:r w:rsidRPr="00481471">
        <w:t>digital technologies.</w:t>
      </w:r>
    </w:p>
    <w:p w14:paraId="7181A462" w14:textId="77777777" w:rsidR="004C1B86" w:rsidRDefault="004C1B86" w:rsidP="004C1B86">
      <w:pPr>
        <w:pStyle w:val="BodyText"/>
        <w:ind w:right="398"/>
      </w:pPr>
    </w:p>
    <w:p w14:paraId="158C41EF" w14:textId="77777777" w:rsidR="004C1B86" w:rsidRPr="00481471" w:rsidRDefault="004C1B86" w:rsidP="004C1B86">
      <w:pPr>
        <w:pStyle w:val="BodyText"/>
        <w:ind w:right="398"/>
      </w:pPr>
      <w:r>
        <w:t>A</w:t>
      </w:r>
      <w:r w:rsidRPr="00481471">
        <w:t xml:space="preserve">eronautical mobile (R) service (AM(R)S) frequency bands in the range 2 850 – 22 000 kHz are used for long-distance aeronautical communications in remote and oceanic areas. The last substantive review of Appendix </w:t>
      </w:r>
      <w:r w:rsidRPr="00481471">
        <w:rPr>
          <w:b/>
          <w:bCs/>
        </w:rPr>
        <w:t>27</w:t>
      </w:r>
      <w:r w:rsidRPr="00481471">
        <w:t xml:space="preserve"> of the ITU Radio Regulations was performed in 1982</w:t>
      </w:r>
      <w:r>
        <w:t>. A</w:t>
      </w:r>
      <w:r w:rsidRPr="00481471">
        <w:t>viation is considering new technologies to significantly improve capacity, connectivity, and quality of service for aviation HF data and voice, including increased channel bandwidths for greater data throughput</w:t>
      </w:r>
      <w:r>
        <w:t xml:space="preserve"> and digital voice</w:t>
      </w:r>
      <w:r w:rsidRPr="00481471">
        <w:t xml:space="preserve">. </w:t>
      </w:r>
    </w:p>
    <w:p w14:paraId="40CA2AE4" w14:textId="77777777" w:rsidR="004C1B86" w:rsidRPr="00481471" w:rsidRDefault="004C1B86" w:rsidP="004C1B86">
      <w:pPr>
        <w:pStyle w:val="BodyText"/>
      </w:pPr>
    </w:p>
    <w:p w14:paraId="26DC4818" w14:textId="77777777" w:rsidR="004C1B86" w:rsidRPr="00481471" w:rsidRDefault="004C1B86" w:rsidP="004C1B86">
      <w:pPr>
        <w:pStyle w:val="BodyText"/>
        <w:spacing w:before="120"/>
        <w:ind w:right="158"/>
      </w:pPr>
      <w:r w:rsidRPr="00481471">
        <w:rPr>
          <w:b/>
        </w:rPr>
        <w:t>U.S. VIEW</w:t>
      </w:r>
      <w:r w:rsidRPr="00481471">
        <w:t xml:space="preserve">: </w:t>
      </w:r>
    </w:p>
    <w:p w14:paraId="6BC67D55" w14:textId="77777777" w:rsidR="004C1B86" w:rsidRPr="00481471" w:rsidRDefault="004C1B86" w:rsidP="004C1B86">
      <w:pPr>
        <w:pStyle w:val="BodyText"/>
        <w:spacing w:before="120"/>
        <w:ind w:right="158"/>
      </w:pPr>
      <w:r w:rsidRPr="00481471">
        <w:t xml:space="preserve">To support studies called for by Resolution </w:t>
      </w:r>
      <w:r w:rsidRPr="00481471">
        <w:rPr>
          <w:b/>
        </w:rPr>
        <w:t xml:space="preserve">429 (WRC-19) </w:t>
      </w:r>
      <w:r w:rsidRPr="00481471">
        <w:t xml:space="preserve">to accommodate </w:t>
      </w:r>
      <w:r>
        <w:t xml:space="preserve">new </w:t>
      </w:r>
      <w:r w:rsidRPr="00481471">
        <w:t>digital technologies.</w:t>
      </w:r>
    </w:p>
    <w:p w14:paraId="38C3240F" w14:textId="77777777" w:rsidR="004C1B86" w:rsidRPr="00481471" w:rsidRDefault="004C1B86" w:rsidP="004C1B86">
      <w:pPr>
        <w:rPr>
          <w:sz w:val="24"/>
          <w:szCs w:val="24"/>
        </w:rPr>
      </w:pPr>
      <w:r w:rsidRPr="0048147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2221E2" wp14:editId="4E7A93F9">
                <wp:simplePos x="0" y="0"/>
                <wp:positionH relativeFrom="column">
                  <wp:posOffset>2743200</wp:posOffset>
                </wp:positionH>
                <wp:positionV relativeFrom="paragraph">
                  <wp:posOffset>139064</wp:posOffset>
                </wp:positionV>
                <wp:extent cx="914400" cy="0"/>
                <wp:effectExtent l="0" t="0" r="0" b="0"/>
                <wp:wrapNone/>
                <wp:docPr id="2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8B006CC" id="Line 70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in,10.95pt" to="4in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5LwQEAAGoDAAAOAAAAZHJzL2Uyb0RvYy54bWysU8Fu2zAMvQ/YPwi6L3aCttuMOD2k6y7Z&#10;FqDdBzCSbAuTRUFU4uTvR6lJ1m23YT4Iokg+Pj7Sy/vj6MTBRLLoWzmf1VIYr1Bb37fy+/Pjuw9S&#10;UAKvwaE3rTwZkvert2+WU2jMAgd02kTBIJ6aKbRySCk0VUVqMCPQDIPx7OwwjpDYjH2lI0yMPrpq&#10;Udd31YRRh4jKEPHrw4tTrgp+1xmVvnUdmSRcK5lbKmcs5y6f1WoJTR8hDFadacA/sBjBei56hXqA&#10;BGIf7V9Qo1URCbs0UzhW2HVWmdIDdzOv/+jmaYBgSi8sDoWrTPT/YNXXwzYKq1u5uJPCw8gz2lhv&#10;xPuizRSo4ZC138bcnTr6p7BB9YOEx/UAvjeF4/MpcN48q1n9lpINClxhN31BzTGwT1iEOnZxzJAs&#10;gTiWeZyu8zDHJBQ/fpzf3NQ8NXVxVdBc8kKk9NngKPKllY45F1w4bChlHtBcQnIZj4/WuTJt58XE&#10;2LeL25JA6KzOzhxGsd+tXRQHyPtSvtIUe16HRdx7XcAGA/rT+Z7Aupc7F3f+rEVuP68jNTvUp228&#10;aMQDLSzPy5c35rVdsn/9IqufAAAA//8DAFBLAwQUAAYACAAAACEAgZ3b4eEAAAAOAQAADwAAAGRy&#10;cy9kb3ducmV2LnhtbEyPQU/DMAyF70j8h8hIXCaWroMBXdMJMXrjwgBx9RrTVjRO12Rb4ddjxAEu&#10;lvxsP78vX42uUwcaQuvZwGyagCKuvG25NvDyXF7cgAoR2WLnmQx8UoBVcXqSY2b9kZ/osIm1EhMO&#10;GRpoYuwzrUPVkMMw9T2xzN794DBKO9TaDngUc9fpNEkW2mHL8qHBnu4bqj42e2cglK+0K78m1SR5&#10;m9ee0t368QGNOT8b10spd0tQkcb4dwE/DJIfCgm29Xu2QXUGLuepAEUD6ewWlCxcXS9E2P4Kusj1&#10;f4ziGwAA//8DAFBLAQItABQABgAIAAAAIQC2gziS/gAAAOEBAAATAAAAAAAAAAAAAAAAAAAAAABb&#10;Q29udGVudF9UeXBlc10ueG1sUEsBAi0AFAAGAAgAAAAhADj9If/WAAAAlAEAAAsAAAAAAAAAAAAA&#10;AAAALwEAAF9yZWxzLy5yZWxzUEsBAi0AFAAGAAgAAAAhAA6LzkvBAQAAagMAAA4AAAAAAAAAAAAA&#10;AAAALgIAAGRycy9lMm9Eb2MueG1sUEsBAi0AFAAGAAgAAAAhAIGd2+HhAAAADgEAAA8AAAAAAAAA&#10;AAAAAAAAGwQAAGRycy9kb3ducmV2LnhtbFBLBQYAAAAABAAEAPMAAAApBQAAAAA=&#10;"/>
            </w:pict>
          </mc:Fallback>
        </mc:AlternateContent>
      </w:r>
    </w:p>
    <w:p w14:paraId="314B28CB" w14:textId="77777777" w:rsidR="004C1B86" w:rsidRPr="00481471" w:rsidRDefault="004C1B86" w:rsidP="004C1B86">
      <w:pPr>
        <w:rPr>
          <w:sz w:val="24"/>
          <w:szCs w:val="24"/>
        </w:rPr>
      </w:pPr>
    </w:p>
    <w:p w14:paraId="1796F075" w14:textId="5B7CD418" w:rsidR="00DF6653" w:rsidRPr="004C1B86" w:rsidRDefault="00DF6653" w:rsidP="004C1B86">
      <w:pPr>
        <w:rPr>
          <w:sz w:val="24"/>
          <w:szCs w:val="24"/>
        </w:rPr>
      </w:pPr>
    </w:p>
    <w:sectPr w:rsidR="00DF6653" w:rsidRPr="004C1B86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5AA1B" w14:textId="77777777" w:rsidR="006B2742" w:rsidRDefault="006B2742">
      <w:r>
        <w:separator/>
      </w:r>
    </w:p>
  </w:endnote>
  <w:endnote w:type="continuationSeparator" w:id="0">
    <w:p w14:paraId="6D26090F" w14:textId="77777777" w:rsidR="006B2742" w:rsidRDefault="006B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405BBD77" w:rsidR="007308E1" w:rsidRDefault="007308E1" w:rsidP="00E82AC2">
    <w:pPr>
      <w:pStyle w:val="Footer"/>
      <w:ind w:right="360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62D87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192A" w14:textId="77777777" w:rsidR="006B2742" w:rsidRDefault="006B2742">
      <w:r>
        <w:separator/>
      </w:r>
    </w:p>
  </w:footnote>
  <w:footnote w:type="continuationSeparator" w:id="0">
    <w:p w14:paraId="2680F49A" w14:textId="77777777" w:rsidR="006B2742" w:rsidRDefault="006B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25E83"/>
    <w:rsid w:val="00130557"/>
    <w:rsid w:val="00156DD9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C1B86"/>
    <w:rsid w:val="004D5765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B24F5"/>
    <w:rsid w:val="006B2742"/>
    <w:rsid w:val="006C59A4"/>
    <w:rsid w:val="006F7C09"/>
    <w:rsid w:val="007043EB"/>
    <w:rsid w:val="007308E1"/>
    <w:rsid w:val="007340C0"/>
    <w:rsid w:val="00744A51"/>
    <w:rsid w:val="00770DF8"/>
    <w:rsid w:val="00787930"/>
    <w:rsid w:val="007C5067"/>
    <w:rsid w:val="007D5A7C"/>
    <w:rsid w:val="007F209B"/>
    <w:rsid w:val="00824595"/>
    <w:rsid w:val="008264D0"/>
    <w:rsid w:val="00830555"/>
    <w:rsid w:val="0084057A"/>
    <w:rsid w:val="00897200"/>
    <w:rsid w:val="008A5015"/>
    <w:rsid w:val="008A61D6"/>
    <w:rsid w:val="008B2BC9"/>
    <w:rsid w:val="008E0405"/>
    <w:rsid w:val="008F141E"/>
    <w:rsid w:val="00946638"/>
    <w:rsid w:val="0095346A"/>
    <w:rsid w:val="0096396F"/>
    <w:rsid w:val="00972072"/>
    <w:rsid w:val="009B3A2A"/>
    <w:rsid w:val="00A143F4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D60"/>
    <w:rsid w:val="00D5204C"/>
    <w:rsid w:val="00D62D87"/>
    <w:rsid w:val="00D96B94"/>
    <w:rsid w:val="00DA247E"/>
    <w:rsid w:val="00DB2E83"/>
    <w:rsid w:val="00DC0D0A"/>
    <w:rsid w:val="00DC2F6F"/>
    <w:rsid w:val="00DD3021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"/>
    <w:unhideWhenUsed/>
    <w:qFormat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2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1721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2020-11-07T18:49:00Z</dcterms:created>
  <dcterms:modified xsi:type="dcterms:W3CDTF">2020-11-27T16:43:00Z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