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2C5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0F2B7BC" w14:textId="77777777">
        <w:tc>
          <w:tcPr>
            <w:tcW w:w="6570" w:type="dxa"/>
            <w:gridSpan w:val="2"/>
          </w:tcPr>
          <w:p w14:paraId="62B9AB53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07EE6BFE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0B1A4C5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1A0B0DE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52240AC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7E17DED2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74CC246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569DAF6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7A5DF0FB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1B5FEB42" w14:textId="77777777">
        <w:trPr>
          <w:cantSplit/>
        </w:trPr>
        <w:tc>
          <w:tcPr>
            <w:tcW w:w="10170" w:type="dxa"/>
            <w:gridSpan w:val="4"/>
          </w:tcPr>
          <w:p w14:paraId="7A7F6629" w14:textId="77777777" w:rsidR="00DF6653" w:rsidRPr="00787930" w:rsidRDefault="00DF6653">
            <w:pPr>
              <w:rPr>
                <w:b/>
                <w:sz w:val="22"/>
              </w:rPr>
            </w:pPr>
          </w:p>
          <w:p w14:paraId="047F1BF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1DF56BE3" w14:textId="77777777">
        <w:trPr>
          <w:cantSplit/>
          <w:trHeight w:val="257"/>
        </w:trPr>
        <w:tc>
          <w:tcPr>
            <w:tcW w:w="1620" w:type="dxa"/>
          </w:tcPr>
          <w:p w14:paraId="49D0FC5F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16EA798" w14:textId="0456117A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173B29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</w:t>
            </w:r>
            <w:r w:rsidR="004A3825">
              <w:rPr>
                <w:b/>
                <w:sz w:val="24"/>
                <w:szCs w:val="24"/>
              </w:rPr>
              <w:t xml:space="preserve">9.1 </w:t>
            </w:r>
          </w:p>
        </w:tc>
        <w:tc>
          <w:tcPr>
            <w:tcW w:w="1620" w:type="dxa"/>
          </w:tcPr>
          <w:p w14:paraId="3D205F51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BFB6DCA" w14:textId="77777777">
        <w:trPr>
          <w:cantSplit/>
          <w:trHeight w:val="257"/>
        </w:trPr>
        <w:tc>
          <w:tcPr>
            <w:tcW w:w="1620" w:type="dxa"/>
          </w:tcPr>
          <w:p w14:paraId="6B38A5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733F40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1F24A5D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9A0C075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7AFD72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0FDE5EF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60EE1B7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70417A2" w14:textId="77777777" w:rsidR="00DF6653" w:rsidRPr="00787930" w:rsidRDefault="00DF6653">
      <w:pPr>
        <w:jc w:val="both"/>
        <w:rPr>
          <w:sz w:val="24"/>
        </w:rPr>
      </w:pPr>
    </w:p>
    <w:p w14:paraId="130B4E23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33C1559B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AFDDA53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7AD72C7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149368B0" wp14:editId="7623D38B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E529" w14:textId="04AD0026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173B29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</w:t>
                            </w:r>
                            <w:r w:rsidR="004A3825">
                              <w:rPr>
                                <w:sz w:val="22"/>
                                <w:szCs w:val="22"/>
                              </w:rPr>
                              <w:t>9.1, Topic (b)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consideration in CITEL’s preparation 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62265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675267FD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307AE529" w14:textId="04AD0026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173B29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</w:t>
                      </w:r>
                      <w:r w:rsidR="004A3825">
                        <w:rPr>
                          <w:sz w:val="22"/>
                          <w:szCs w:val="22"/>
                        </w:rPr>
                        <w:t>9.1, Topic (b)</w:t>
                      </w:r>
                      <w:r>
                        <w:rPr>
                          <w:sz w:val="22"/>
                          <w:szCs w:val="22"/>
                        </w:rPr>
                        <w:t xml:space="preserve"> for consideration in CITEL’s preparation </w:t>
                      </w:r>
                      <w:r w:rsidR="00FA4223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FA4223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5B62265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675267FD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741900D9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7E428CC0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C4606A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02B393CF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7082A82B" w14:textId="77777777" w:rsidR="004A3825" w:rsidRPr="00223E3E" w:rsidRDefault="004A3825" w:rsidP="004A3825">
      <w:pPr>
        <w:widowControl w:val="0"/>
        <w:autoSpaceDE w:val="0"/>
        <w:autoSpaceDN w:val="0"/>
        <w:adjustRightInd w:val="0"/>
        <w:ind w:left="2560"/>
      </w:pPr>
      <w:r w:rsidRPr="00223E3E">
        <w:rPr>
          <w:b/>
          <w:bCs/>
        </w:rPr>
        <w:t>UNITED STATES OF AMERICA</w:t>
      </w:r>
    </w:p>
    <w:p w14:paraId="5F7A6285" w14:textId="77777777" w:rsidR="004A3825" w:rsidRPr="00223E3E" w:rsidRDefault="004A3825" w:rsidP="004A3825">
      <w:pPr>
        <w:widowControl w:val="0"/>
        <w:autoSpaceDE w:val="0"/>
        <w:autoSpaceDN w:val="0"/>
        <w:adjustRightInd w:val="0"/>
        <w:spacing w:line="120" w:lineRule="exact"/>
      </w:pPr>
    </w:p>
    <w:p w14:paraId="75226D8B" w14:textId="77777777" w:rsidR="004A3825" w:rsidRPr="00223E3E" w:rsidRDefault="004A3825" w:rsidP="004A3825">
      <w:pPr>
        <w:widowControl w:val="0"/>
        <w:autoSpaceDE w:val="0"/>
        <w:autoSpaceDN w:val="0"/>
        <w:adjustRightInd w:val="0"/>
        <w:ind w:left="1800"/>
      </w:pPr>
      <w:r w:rsidRPr="00223E3E">
        <w:rPr>
          <w:b/>
          <w:bCs/>
        </w:rPr>
        <w:t>DRAFT PRELIMINARY VIEWS FOR WRC-23</w:t>
      </w:r>
    </w:p>
    <w:p w14:paraId="44D1568C" w14:textId="77777777" w:rsidR="004A3825" w:rsidRPr="00223E3E" w:rsidRDefault="004A3825" w:rsidP="004A3825">
      <w:pPr>
        <w:widowControl w:val="0"/>
        <w:autoSpaceDE w:val="0"/>
        <w:autoSpaceDN w:val="0"/>
        <w:adjustRightInd w:val="0"/>
        <w:spacing w:line="200" w:lineRule="exact"/>
      </w:pPr>
    </w:p>
    <w:p w14:paraId="2DF205D0" w14:textId="77777777" w:rsidR="004A3825" w:rsidRPr="00223E3E" w:rsidRDefault="004A3825" w:rsidP="004A3825">
      <w:pPr>
        <w:widowControl w:val="0"/>
        <w:autoSpaceDE w:val="0"/>
        <w:autoSpaceDN w:val="0"/>
        <w:adjustRightInd w:val="0"/>
        <w:spacing w:line="314" w:lineRule="exact"/>
      </w:pPr>
    </w:p>
    <w:p w14:paraId="38D5C4F2" w14:textId="77777777" w:rsidR="004A3825" w:rsidRPr="004A3825" w:rsidRDefault="004A3825" w:rsidP="004A3825">
      <w:pPr>
        <w:pStyle w:val="enumlev1"/>
        <w:spacing w:before="0"/>
        <w:ind w:left="0" w:firstLine="0"/>
        <w:jc w:val="left"/>
        <w:rPr>
          <w:szCs w:val="24"/>
        </w:rPr>
      </w:pPr>
      <w:r w:rsidRPr="004A3825">
        <w:rPr>
          <w:b/>
          <w:bCs/>
          <w:szCs w:val="24"/>
        </w:rPr>
        <w:t>Agenda Item 9.1, Topic b)</w:t>
      </w:r>
      <w:r w:rsidRPr="004A3825">
        <w:rPr>
          <w:szCs w:val="24"/>
        </w:rPr>
        <w:t>: Review of the amateur service and the amateur-satellite service allocations in the frequency band 1 240</w:t>
      </w:r>
      <w:r w:rsidRPr="004A3825">
        <w:rPr>
          <w:szCs w:val="24"/>
        </w:rPr>
        <w:noBreakHyphen/>
        <w:t xml:space="preserve">1 300 MHz to determine if additional measures are required to ensure protection of the radionavigation-satellite service (space-to-Earth) operating in the same band </w:t>
      </w:r>
      <w:r w:rsidRPr="004A3825">
        <w:rPr>
          <w:szCs w:val="24"/>
          <w:lang w:eastAsia="nl-NL"/>
        </w:rPr>
        <w:t xml:space="preserve">in accordance with Resolution </w:t>
      </w:r>
      <w:r w:rsidRPr="004A3825">
        <w:rPr>
          <w:rFonts w:eastAsia="SimSun"/>
          <w:b/>
          <w:bCs/>
          <w:szCs w:val="24"/>
        </w:rPr>
        <w:t>774</w:t>
      </w:r>
      <w:r w:rsidRPr="004A3825">
        <w:rPr>
          <w:b/>
          <w:szCs w:val="24"/>
          <w:lang w:eastAsia="nl-NL"/>
        </w:rPr>
        <w:t xml:space="preserve"> (WRC</w:t>
      </w:r>
      <w:r w:rsidRPr="004A3825">
        <w:rPr>
          <w:b/>
          <w:szCs w:val="24"/>
          <w:lang w:eastAsia="nl-NL"/>
        </w:rPr>
        <w:noBreakHyphen/>
        <w:t>19)</w:t>
      </w:r>
      <w:r w:rsidRPr="004A3825">
        <w:rPr>
          <w:bCs/>
          <w:szCs w:val="24"/>
          <w:lang w:eastAsia="nl-NL"/>
        </w:rPr>
        <w:t>;</w:t>
      </w:r>
    </w:p>
    <w:p w14:paraId="7BF13D38" w14:textId="77777777" w:rsidR="004A3825" w:rsidRPr="004A3825" w:rsidRDefault="004A3825" w:rsidP="004A38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0C68E38" w14:textId="77777777" w:rsidR="004A3825" w:rsidRPr="004A3825" w:rsidRDefault="004A3825" w:rsidP="004A38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4AE45F" w14:textId="77777777" w:rsidR="004A3825" w:rsidRPr="004A3825" w:rsidRDefault="004A3825" w:rsidP="004A3825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  <w:r w:rsidRPr="004A3825">
        <w:rPr>
          <w:b/>
          <w:bCs/>
          <w:sz w:val="24"/>
          <w:szCs w:val="24"/>
        </w:rPr>
        <w:t>BACKGROUND</w:t>
      </w:r>
      <w:r w:rsidRPr="004A3825">
        <w:rPr>
          <w:sz w:val="24"/>
          <w:szCs w:val="24"/>
        </w:rPr>
        <w:t xml:space="preserve">:  </w:t>
      </w:r>
    </w:p>
    <w:p w14:paraId="3027C4E3" w14:textId="77777777" w:rsidR="004A3825" w:rsidRPr="004A3825" w:rsidRDefault="004A3825" w:rsidP="004A3825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  <w:r w:rsidRPr="004A3825">
        <w:rPr>
          <w:sz w:val="24"/>
          <w:szCs w:val="24"/>
        </w:rPr>
        <w:t xml:space="preserve">The frequency band 1 240-1 300 MHz is allocated to the amateur service on a secondary basis, and under No. </w:t>
      </w:r>
      <w:r w:rsidRPr="004A3825">
        <w:rPr>
          <w:b/>
          <w:bCs/>
          <w:sz w:val="24"/>
          <w:szCs w:val="24"/>
        </w:rPr>
        <w:t>5.282</w:t>
      </w:r>
      <w:r w:rsidRPr="004A3825">
        <w:rPr>
          <w:sz w:val="24"/>
          <w:szCs w:val="24"/>
        </w:rPr>
        <w:t xml:space="preserve"> of the Radio Regulations, the amateur-satellite service may operate in the 1 260-1 270 MHz frequency band, in the Earth-to-space direction, “subject to not causing harmful interference to other services operating in accordance with the Table (see No. </w:t>
      </w:r>
      <w:r w:rsidRPr="004A3825">
        <w:rPr>
          <w:b/>
          <w:bCs/>
          <w:sz w:val="24"/>
          <w:szCs w:val="24"/>
        </w:rPr>
        <w:t>5.43</w:t>
      </w:r>
      <w:r w:rsidRPr="004A3825">
        <w:rPr>
          <w:sz w:val="24"/>
          <w:szCs w:val="24"/>
        </w:rPr>
        <w:t xml:space="preserve">)” and other conditions.  The frequency band 1240-1300 MHz is allocated to the radionavigation-satellite service (space-to-Earth) and (space-to-space) (RNSS) on a primary basis, along with other primary services. </w:t>
      </w:r>
    </w:p>
    <w:p w14:paraId="00B91109" w14:textId="77777777" w:rsidR="004A3825" w:rsidRPr="004A3825" w:rsidRDefault="004A3825" w:rsidP="004A3825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</w:p>
    <w:p w14:paraId="76503F23" w14:textId="2935AA43" w:rsidR="004A3825" w:rsidRPr="004A3825" w:rsidRDefault="004A3825" w:rsidP="004A3825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  <w:r w:rsidRPr="004A3825">
        <w:rPr>
          <w:sz w:val="24"/>
          <w:szCs w:val="24"/>
        </w:rPr>
        <w:t xml:space="preserve">Resolution </w:t>
      </w:r>
      <w:r w:rsidRPr="004A3825">
        <w:rPr>
          <w:b/>
          <w:bCs/>
          <w:sz w:val="24"/>
          <w:szCs w:val="24"/>
        </w:rPr>
        <w:t>774 (WRC-19)</w:t>
      </w:r>
      <w:r w:rsidRPr="004A3825">
        <w:rPr>
          <w:sz w:val="24"/>
          <w:szCs w:val="24"/>
        </w:rPr>
        <w:t xml:space="preserve"> recognizes that the amateur service in the frequency band 1 240-1 300 MHz is currently used for amateur voice, data and image transmission in several countries in Europe and around the globe, and may transmit a variety of emission types including wideband, continuous and/or high equivalent isotropically radiated power (e.i.r.p.) transmissions.  The Resolution also recognizes that some cases of harmful interference caused by emissions in the amateur service into RNSS (space-to-Earth) receivers have occurred, and resulted in investigations and in instructions to the operator of the interfering station to cease transmissions, and that, in accordance with No. </w:t>
      </w:r>
      <w:r w:rsidRPr="004A3825">
        <w:rPr>
          <w:b/>
          <w:bCs/>
          <w:sz w:val="24"/>
          <w:szCs w:val="24"/>
        </w:rPr>
        <w:t>5.29</w:t>
      </w:r>
      <w:r w:rsidRPr="004A3825">
        <w:rPr>
          <w:sz w:val="24"/>
          <w:szCs w:val="24"/>
        </w:rPr>
        <w:t xml:space="preserve"> of the Radio Regulations, stations of a secondary service shall not cause harmful interference to stations of primary services to which frequencies are already assigned or to which frequencies may be assigned at a later date.  Finally, the Resolution recognizes that administrations will benefit from the availability of studies and guidelines on</w:t>
      </w:r>
    </w:p>
    <w:p w14:paraId="7F932150" w14:textId="77777777" w:rsidR="004A3825" w:rsidRPr="004A3825" w:rsidRDefault="004A3825" w:rsidP="004A3825">
      <w:pPr>
        <w:autoSpaceDE w:val="0"/>
        <w:autoSpaceDN w:val="0"/>
        <w:adjustRightInd w:val="0"/>
        <w:rPr>
          <w:sz w:val="24"/>
          <w:szCs w:val="24"/>
        </w:rPr>
      </w:pPr>
      <w:r w:rsidRPr="004A3825">
        <w:rPr>
          <w:sz w:val="24"/>
          <w:szCs w:val="24"/>
        </w:rPr>
        <w:t>protection of the RNSS (space-to-Earth) by the amateur and amateur-satellite services in the frequency band 1 240-1 300 MHz;</w:t>
      </w:r>
    </w:p>
    <w:p w14:paraId="4A720727" w14:textId="77777777" w:rsidR="004A3825" w:rsidRPr="004A3825" w:rsidRDefault="004A3825" w:rsidP="004A3825">
      <w:pPr>
        <w:autoSpaceDE w:val="0"/>
        <w:autoSpaceDN w:val="0"/>
        <w:adjustRightInd w:val="0"/>
        <w:rPr>
          <w:sz w:val="24"/>
          <w:szCs w:val="24"/>
        </w:rPr>
      </w:pPr>
    </w:p>
    <w:p w14:paraId="13893E35" w14:textId="0AD18B82" w:rsidR="004A3825" w:rsidRPr="004A3825" w:rsidRDefault="004A3825" w:rsidP="004A3825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  <w:r w:rsidRPr="004A3825">
        <w:rPr>
          <w:sz w:val="24"/>
          <w:szCs w:val="24"/>
        </w:rPr>
        <w:t xml:space="preserve">In Resolution </w:t>
      </w:r>
      <w:r w:rsidRPr="004A3825">
        <w:rPr>
          <w:b/>
          <w:bCs/>
          <w:sz w:val="24"/>
          <w:szCs w:val="24"/>
        </w:rPr>
        <w:t>774 (WRC-19)</w:t>
      </w:r>
      <w:r w:rsidRPr="004A3825">
        <w:rPr>
          <w:sz w:val="24"/>
          <w:szCs w:val="24"/>
        </w:rPr>
        <w:t xml:space="preserve">, WRC-19, in light of the above recognizings, resolved to invite the ITU-R sector:  </w:t>
      </w:r>
    </w:p>
    <w:p w14:paraId="23E1B26D" w14:textId="77777777" w:rsidR="004A3825" w:rsidRPr="004A3825" w:rsidRDefault="004A3825" w:rsidP="004A3825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</w:p>
    <w:p w14:paraId="13244555" w14:textId="62F3CCC1" w:rsidR="004A3825" w:rsidRPr="004A3825" w:rsidRDefault="004A3825" w:rsidP="004A3825">
      <w:pPr>
        <w:ind w:left="60"/>
        <w:rPr>
          <w:i/>
          <w:iCs/>
          <w:sz w:val="24"/>
          <w:szCs w:val="24"/>
        </w:rPr>
      </w:pPr>
      <w:r w:rsidRPr="004A3825">
        <w:rPr>
          <w:i/>
          <w:iCs/>
          <w:sz w:val="24"/>
          <w:szCs w:val="24"/>
        </w:rPr>
        <w:t xml:space="preserve">1 </w:t>
      </w:r>
      <w:r w:rsidRPr="004A3825">
        <w:rPr>
          <w:i/>
          <w:iCs/>
          <w:sz w:val="24"/>
          <w:szCs w:val="24"/>
        </w:rPr>
        <w:tab/>
        <w:t>to perform a detailed review of the different systems and applications used in the amateur service and amateur-satellite service allocations in the frequency band 1 240</w:t>
      </w:r>
      <w:r w:rsidRPr="004A3825">
        <w:rPr>
          <w:i/>
          <w:iCs/>
          <w:sz w:val="24"/>
          <w:szCs w:val="24"/>
        </w:rPr>
        <w:noBreakHyphen/>
        <w:t>1 300 MHz;</w:t>
      </w:r>
    </w:p>
    <w:p w14:paraId="5FE3E250" w14:textId="77777777" w:rsidR="004A3825" w:rsidRPr="004A3825" w:rsidRDefault="004A3825" w:rsidP="004A3825">
      <w:pPr>
        <w:pStyle w:val="ListParagraph"/>
        <w:ind w:left="700" w:firstLine="0"/>
        <w:rPr>
          <w:i/>
          <w:iCs/>
          <w:sz w:val="24"/>
          <w:szCs w:val="24"/>
        </w:rPr>
      </w:pPr>
    </w:p>
    <w:p w14:paraId="71848BB1" w14:textId="3E02E866" w:rsidR="004A3825" w:rsidRPr="004A3825" w:rsidRDefault="004A3825" w:rsidP="004A3825">
      <w:pPr>
        <w:ind w:left="60"/>
        <w:rPr>
          <w:i/>
          <w:iCs/>
          <w:sz w:val="24"/>
          <w:szCs w:val="24"/>
        </w:rPr>
      </w:pPr>
      <w:r w:rsidRPr="004A3825">
        <w:rPr>
          <w:i/>
          <w:iCs/>
          <w:sz w:val="24"/>
          <w:szCs w:val="24"/>
        </w:rPr>
        <w:t xml:space="preserve">2 </w:t>
      </w:r>
      <w:r w:rsidRPr="004A3825">
        <w:rPr>
          <w:i/>
          <w:iCs/>
          <w:sz w:val="24"/>
          <w:szCs w:val="24"/>
        </w:rPr>
        <w:tab/>
        <w:t>taking into account the results of the above review, to study possible technical and operational measures to ensure the protection of RNSS (space-to-Earth) receivers from the amateur and amateur-satellite services in the frequency band 1 240-1 300 MHz, without considering the removal of these amateur and amateur-satellite service allocations,</w:t>
      </w:r>
    </w:p>
    <w:p w14:paraId="0638613D" w14:textId="77777777" w:rsidR="004A3825" w:rsidRPr="004A3825" w:rsidRDefault="004A3825" w:rsidP="004A3825">
      <w:pPr>
        <w:rPr>
          <w:sz w:val="24"/>
          <w:szCs w:val="24"/>
        </w:rPr>
      </w:pPr>
    </w:p>
    <w:p w14:paraId="3BF7165C" w14:textId="77777777" w:rsidR="004A3825" w:rsidRPr="004A3825" w:rsidRDefault="004A3825" w:rsidP="004A3825">
      <w:pPr>
        <w:rPr>
          <w:sz w:val="24"/>
          <w:szCs w:val="24"/>
        </w:rPr>
      </w:pPr>
      <w:r w:rsidRPr="004A3825">
        <w:rPr>
          <w:sz w:val="24"/>
          <w:szCs w:val="24"/>
        </w:rPr>
        <w:lastRenderedPageBreak/>
        <w:t>The Resolution instructs the Director of the Radiocommunication Bureau to include the results of these studies in his Report to WRC-23 for the purpose of considering appropriate actions in response to the two invites above.  No changes to the Radio Regulations including changes to allocation status of the amateur or amateur-satellite services, or to the RNSS, are to be considered under this topic.</w:t>
      </w:r>
    </w:p>
    <w:p w14:paraId="52009B57" w14:textId="77777777" w:rsidR="004A3825" w:rsidRPr="004A3825" w:rsidRDefault="004A3825" w:rsidP="004A38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796F075" w14:textId="50A8A68C" w:rsidR="00DF6653" w:rsidRPr="004A3825" w:rsidRDefault="004A3825" w:rsidP="004A3825">
      <w:pPr>
        <w:spacing w:before="120"/>
        <w:rPr>
          <w:sz w:val="24"/>
          <w:szCs w:val="24"/>
        </w:rPr>
      </w:pPr>
      <w:r w:rsidRPr="004A3825">
        <w:rPr>
          <w:b/>
          <w:bCs/>
          <w:sz w:val="24"/>
          <w:szCs w:val="24"/>
        </w:rPr>
        <w:t>U.S. VIEW</w:t>
      </w:r>
      <w:r w:rsidRPr="004A3825">
        <w:rPr>
          <w:sz w:val="24"/>
          <w:szCs w:val="24"/>
        </w:rPr>
        <w:t xml:space="preserve">:  The United States of the view that changes to the Radio Regulations are outside the scope of Agenda Item 9.1.  For WRC-23 Agenda Item 9.1, Topic b), the United States supports studies to be carried out under Resolution </w:t>
      </w:r>
      <w:r w:rsidRPr="004A3825">
        <w:rPr>
          <w:b/>
          <w:bCs/>
          <w:sz w:val="24"/>
          <w:szCs w:val="24"/>
        </w:rPr>
        <w:t xml:space="preserve">774 (WRC-19). </w:t>
      </w:r>
      <w:r w:rsidRPr="004A3825">
        <w:rPr>
          <w:sz w:val="24"/>
          <w:szCs w:val="24"/>
        </w:rPr>
        <w:t>The results of these studies should seek to identify possible technical and operational measures to ensure the protection of RNSS (space-to-Earth) receivers from the amateur and amateur-satellite services in the frequency band 1 240-1 300 MHz, without considering the removal of these amateur and amateur-satellite service.</w:t>
      </w:r>
    </w:p>
    <w:sectPr w:rsidR="00DF6653" w:rsidRPr="004A3825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FFC6F" w14:textId="77777777" w:rsidR="00265023" w:rsidRDefault="00265023">
      <w:r>
        <w:separator/>
      </w:r>
    </w:p>
  </w:endnote>
  <w:endnote w:type="continuationSeparator" w:id="0">
    <w:p w14:paraId="5332D634" w14:textId="77777777" w:rsidR="00265023" w:rsidRDefault="0026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88E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53DE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5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F3FD3" w14:textId="34C62D4F" w:rsidR="007308E1" w:rsidRDefault="007308E1" w:rsidP="00E82AC2">
    <w:pPr>
      <w:pStyle w:val="Footer"/>
      <w:ind w:right="360"/>
    </w:pP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73B29">
      <w:rPr>
        <w:noProof/>
      </w:rPr>
      <w:t>07.11.20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5E65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615F0E13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16ABD063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577E8" w14:textId="77777777" w:rsidR="00265023" w:rsidRDefault="00265023">
      <w:r>
        <w:separator/>
      </w:r>
    </w:p>
  </w:footnote>
  <w:footnote w:type="continuationSeparator" w:id="0">
    <w:p w14:paraId="6C42AC35" w14:textId="77777777" w:rsidR="00265023" w:rsidRDefault="0026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1BCD5D63" w14:textId="77777777" w:rsidTr="0001152F">
      <w:trPr>
        <w:cantSplit/>
        <w:trHeight w:val="1629"/>
      </w:trPr>
      <w:tc>
        <w:tcPr>
          <w:tcW w:w="1958" w:type="dxa"/>
        </w:tcPr>
        <w:p w14:paraId="463CA148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B2FD5D" wp14:editId="32AE928E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92D25" wp14:editId="2285E34C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B9DE2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6DA205" wp14:editId="59ED514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020A70CA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536111" wp14:editId="19BF87F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1B1AE2E1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3CFF0D0" wp14:editId="3B563ADA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F7F26BC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761CA0B2" wp14:editId="434DD54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D8A715D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1F0421E6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7C9526C1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00FCAEC8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78C9DB16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2E6D02E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30846F5D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0E6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8A665B"/>
    <w:multiLevelType w:val="hybridMultilevel"/>
    <w:tmpl w:val="8814D880"/>
    <w:lvl w:ilvl="0" w:tplc="2FF2AE8A">
      <w:start w:val="1"/>
      <w:numFmt w:val="decimal"/>
      <w:lvlText w:val="%1"/>
      <w:lvlJc w:val="left"/>
      <w:pPr>
        <w:ind w:left="7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9A147B4"/>
    <w:multiLevelType w:val="hybridMultilevel"/>
    <w:tmpl w:val="36C0CD3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C8438B3"/>
    <w:multiLevelType w:val="hybridMultilevel"/>
    <w:tmpl w:val="D0E0C5EA"/>
    <w:lvl w:ilvl="0" w:tplc="13760432">
      <w:start w:val="21"/>
      <w:numFmt w:val="upperLetter"/>
      <w:lvlText w:val="%1"/>
      <w:lvlJc w:val="left"/>
      <w:pPr>
        <w:ind w:left="604" w:hanging="488"/>
      </w:pPr>
      <w:rPr>
        <w:rFonts w:hint="default"/>
      </w:rPr>
    </w:lvl>
    <w:lvl w:ilvl="1" w:tplc="387EC6E6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E62826">
      <w:numFmt w:val="bullet"/>
      <w:lvlText w:val="•"/>
      <w:lvlJc w:val="left"/>
      <w:pPr>
        <w:ind w:left="1880" w:hanging="144"/>
      </w:pPr>
      <w:rPr>
        <w:rFonts w:hint="default"/>
      </w:rPr>
    </w:lvl>
    <w:lvl w:ilvl="3" w:tplc="9A40F88E">
      <w:numFmt w:val="bullet"/>
      <w:lvlText w:val="•"/>
      <w:lvlJc w:val="left"/>
      <w:pPr>
        <w:ind w:left="2920" w:hanging="144"/>
      </w:pPr>
      <w:rPr>
        <w:rFonts w:hint="default"/>
      </w:rPr>
    </w:lvl>
    <w:lvl w:ilvl="4" w:tplc="0D165CC8">
      <w:numFmt w:val="bullet"/>
      <w:lvlText w:val="•"/>
      <w:lvlJc w:val="left"/>
      <w:pPr>
        <w:ind w:left="3960" w:hanging="144"/>
      </w:pPr>
      <w:rPr>
        <w:rFonts w:hint="default"/>
      </w:rPr>
    </w:lvl>
    <w:lvl w:ilvl="5" w:tplc="01D495AC">
      <w:numFmt w:val="bullet"/>
      <w:lvlText w:val="•"/>
      <w:lvlJc w:val="left"/>
      <w:pPr>
        <w:ind w:left="5000" w:hanging="144"/>
      </w:pPr>
      <w:rPr>
        <w:rFonts w:hint="default"/>
      </w:rPr>
    </w:lvl>
    <w:lvl w:ilvl="6" w:tplc="5AB8BDB8">
      <w:numFmt w:val="bullet"/>
      <w:lvlText w:val="•"/>
      <w:lvlJc w:val="left"/>
      <w:pPr>
        <w:ind w:left="6040" w:hanging="144"/>
      </w:pPr>
      <w:rPr>
        <w:rFonts w:hint="default"/>
      </w:rPr>
    </w:lvl>
    <w:lvl w:ilvl="7" w:tplc="EE0001A8">
      <w:numFmt w:val="bullet"/>
      <w:lvlText w:val="•"/>
      <w:lvlJc w:val="left"/>
      <w:pPr>
        <w:ind w:left="7080" w:hanging="144"/>
      </w:pPr>
      <w:rPr>
        <w:rFonts w:hint="default"/>
      </w:rPr>
    </w:lvl>
    <w:lvl w:ilvl="8" w:tplc="C876E734">
      <w:numFmt w:val="bullet"/>
      <w:lvlText w:val="•"/>
      <w:lvlJc w:val="left"/>
      <w:pPr>
        <w:ind w:left="8120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85302"/>
    <w:rsid w:val="000B7255"/>
    <w:rsid w:val="000B7E78"/>
    <w:rsid w:val="000D4C1A"/>
    <w:rsid w:val="000E33A5"/>
    <w:rsid w:val="00106646"/>
    <w:rsid w:val="00125E83"/>
    <w:rsid w:val="00130557"/>
    <w:rsid w:val="00156DD9"/>
    <w:rsid w:val="00171E28"/>
    <w:rsid w:val="00173B29"/>
    <w:rsid w:val="001D1909"/>
    <w:rsid w:val="002178DF"/>
    <w:rsid w:val="00217EFA"/>
    <w:rsid w:val="00220543"/>
    <w:rsid w:val="002623C9"/>
    <w:rsid w:val="00265023"/>
    <w:rsid w:val="00283E6D"/>
    <w:rsid w:val="002A4514"/>
    <w:rsid w:val="002A631D"/>
    <w:rsid w:val="002C569B"/>
    <w:rsid w:val="002C5EF8"/>
    <w:rsid w:val="00313C59"/>
    <w:rsid w:val="003355CC"/>
    <w:rsid w:val="00344FDD"/>
    <w:rsid w:val="00364023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56993"/>
    <w:rsid w:val="00476645"/>
    <w:rsid w:val="004A3825"/>
    <w:rsid w:val="004B39D5"/>
    <w:rsid w:val="004C1B86"/>
    <w:rsid w:val="004D5765"/>
    <w:rsid w:val="004D60EF"/>
    <w:rsid w:val="004F4CB4"/>
    <w:rsid w:val="00517218"/>
    <w:rsid w:val="005175FB"/>
    <w:rsid w:val="0052422F"/>
    <w:rsid w:val="005246E6"/>
    <w:rsid w:val="0053477B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308E1"/>
    <w:rsid w:val="007340C0"/>
    <w:rsid w:val="00744A51"/>
    <w:rsid w:val="007459D6"/>
    <w:rsid w:val="00770DF8"/>
    <w:rsid w:val="00787930"/>
    <w:rsid w:val="007C5067"/>
    <w:rsid w:val="007D5A7C"/>
    <w:rsid w:val="007F209B"/>
    <w:rsid w:val="00824595"/>
    <w:rsid w:val="008264D0"/>
    <w:rsid w:val="00830555"/>
    <w:rsid w:val="0084057A"/>
    <w:rsid w:val="00897200"/>
    <w:rsid w:val="008A5015"/>
    <w:rsid w:val="008A61D6"/>
    <w:rsid w:val="008B2BC9"/>
    <w:rsid w:val="008E0405"/>
    <w:rsid w:val="008F141E"/>
    <w:rsid w:val="00946638"/>
    <w:rsid w:val="009528A9"/>
    <w:rsid w:val="0095346A"/>
    <w:rsid w:val="009575E7"/>
    <w:rsid w:val="0096396F"/>
    <w:rsid w:val="00972072"/>
    <w:rsid w:val="009B3A2A"/>
    <w:rsid w:val="00A143F4"/>
    <w:rsid w:val="00A30CF5"/>
    <w:rsid w:val="00A4159C"/>
    <w:rsid w:val="00A41F5D"/>
    <w:rsid w:val="00A526D8"/>
    <w:rsid w:val="00A610B7"/>
    <w:rsid w:val="00A72CF3"/>
    <w:rsid w:val="00A85695"/>
    <w:rsid w:val="00AB1A86"/>
    <w:rsid w:val="00AC0B21"/>
    <w:rsid w:val="00AD2B12"/>
    <w:rsid w:val="00B21910"/>
    <w:rsid w:val="00B42446"/>
    <w:rsid w:val="00B652BF"/>
    <w:rsid w:val="00B71FAB"/>
    <w:rsid w:val="00B74252"/>
    <w:rsid w:val="00BA42B7"/>
    <w:rsid w:val="00C23474"/>
    <w:rsid w:val="00C4469E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46D60"/>
    <w:rsid w:val="00D5204C"/>
    <w:rsid w:val="00D96B94"/>
    <w:rsid w:val="00DA247E"/>
    <w:rsid w:val="00DB2E83"/>
    <w:rsid w:val="00DC0D0A"/>
    <w:rsid w:val="00DC2F6F"/>
    <w:rsid w:val="00DD3021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A4223"/>
    <w:rsid w:val="00FB5584"/>
    <w:rsid w:val="00FD739C"/>
    <w:rsid w:val="00FE72DF"/>
    <w:rsid w:val="00FF77AB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B0B4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,Footnote symbol,Appel note de bas de p + 11 pt,Italic,Footnote,R"/>
    <w:unhideWhenUsed/>
    <w:qFormat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5A7C"/>
    <w:pPr>
      <w:widowControl w:val="0"/>
      <w:autoSpaceDE w:val="0"/>
      <w:autoSpaceDN w:val="0"/>
      <w:ind w:left="837" w:hanging="361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D5A7C"/>
    <w:rPr>
      <w:sz w:val="22"/>
      <w:szCs w:val="22"/>
    </w:rPr>
  </w:style>
  <w:style w:type="character" w:customStyle="1" w:styleId="fontstyle01">
    <w:name w:val="fontstyle01"/>
    <w:basedOn w:val="DefaultParagraphFont"/>
    <w:rsid w:val="007D5A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53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5302"/>
    <w:rPr>
      <w:sz w:val="18"/>
      <w:szCs w:val="18"/>
    </w:rPr>
  </w:style>
  <w:style w:type="paragraph" w:customStyle="1" w:styleId="enumlev1">
    <w:name w:val="enumlev1"/>
    <w:basedOn w:val="Normal"/>
    <w:link w:val="enumlev1Char"/>
    <w:qFormat/>
    <w:rsid w:val="004A3825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sz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A3825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customXml/itemProps2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4206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4</cp:revision>
  <cp:lastPrinted>1999-10-11T18:56:00Z</cp:lastPrinted>
  <dcterms:created xsi:type="dcterms:W3CDTF">2020-11-07T19:03:00Z</dcterms:created>
  <dcterms:modified xsi:type="dcterms:W3CDTF">2020-11-27T16:48:00Z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