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5746EB71" w:rsidR="00BF6558" w:rsidRPr="00787930" w:rsidRDefault="00240C9F"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67EC8B5C" w14:textId="243BC363" w:rsidR="00177DC8" w:rsidRPr="002B4C07" w:rsidRDefault="00177DC8" w:rsidP="00177DC8">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545F670D" w:rsidR="00955D5F" w:rsidRPr="00596F6A" w:rsidRDefault="00955D5F" w:rsidP="00955D5F">
            <w:pPr>
              <w:spacing w:before="120"/>
              <w:jc w:val="center"/>
              <w:rPr>
                <w:b/>
                <w:sz w:val="24"/>
                <w:szCs w:val="24"/>
              </w:rPr>
            </w:pPr>
            <w:r w:rsidRPr="00D903B4">
              <w:rPr>
                <w:b/>
                <w:bCs/>
                <w:sz w:val="24"/>
                <w:szCs w:val="24"/>
              </w:rPr>
              <w:t xml:space="preserve">AGENDA ITEM </w:t>
            </w:r>
            <w:r w:rsidR="00702D4A">
              <w:rPr>
                <w:b/>
                <w:bCs/>
                <w:sz w:val="24"/>
                <w:szCs w:val="24"/>
              </w:rPr>
              <w:t>9.1 T</w:t>
            </w:r>
            <w:r w:rsidR="00177DC8">
              <w:rPr>
                <w:b/>
                <w:bCs/>
                <w:sz w:val="24"/>
                <w:szCs w:val="24"/>
              </w:rPr>
              <w:t>OPIC</w:t>
            </w:r>
            <w:r w:rsidR="00702D4A">
              <w:rPr>
                <w:b/>
                <w:bCs/>
                <w:sz w:val="24"/>
                <w:szCs w:val="24"/>
              </w:rPr>
              <w:t xml:space="preserve"> C</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772C5C0B"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2AFCC7FF" w14:textId="77777777" w:rsidR="00DF6653" w:rsidRPr="00787930" w:rsidRDefault="00DF6653">
      <w:pPr>
        <w:rPr>
          <w:b/>
          <w:sz w:val="24"/>
        </w:rPr>
        <w:sectPr w:rsidR="00DF6653" w:rsidRPr="00787930" w:rsidSect="004A000D">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pgNumType w:start="0"/>
          <w:cols w:space="720"/>
          <w:titlePg/>
          <w:docGrid w:linePitch="272"/>
        </w:sectPr>
      </w:pPr>
    </w:p>
    <w:p w14:paraId="3E914C0A" w14:textId="5E3F4DD1" w:rsidR="005A1E4C" w:rsidRDefault="005A1E4C" w:rsidP="00DA247E">
      <w:pPr>
        <w:tabs>
          <w:tab w:val="left" w:pos="699"/>
          <w:tab w:val="left" w:pos="1080"/>
          <w:tab w:val="left" w:pos="7257"/>
          <w:tab w:val="left" w:pos="7920"/>
          <w:tab w:val="left" w:pos="8508"/>
          <w:tab w:val="left" w:pos="9216"/>
        </w:tabs>
        <w:jc w:val="both"/>
        <w:rPr>
          <w:b/>
          <w:sz w:val="22"/>
        </w:rPr>
      </w:pPr>
    </w:p>
    <w:p w14:paraId="3D993181" w14:textId="390CEEE4" w:rsidR="00EA726F" w:rsidRDefault="00EA726F" w:rsidP="00DA247E">
      <w:pPr>
        <w:tabs>
          <w:tab w:val="left" w:pos="699"/>
          <w:tab w:val="left" w:pos="1080"/>
          <w:tab w:val="left" w:pos="7257"/>
          <w:tab w:val="left" w:pos="7920"/>
          <w:tab w:val="left" w:pos="8508"/>
          <w:tab w:val="left" w:pos="9216"/>
        </w:tabs>
        <w:jc w:val="both"/>
        <w:rPr>
          <w:b/>
          <w:sz w:val="22"/>
        </w:rPr>
      </w:pPr>
    </w:p>
    <w:p w14:paraId="502293C8" w14:textId="77777777" w:rsidR="00EA726F" w:rsidRDefault="00EA726F" w:rsidP="00EA726F">
      <w:pPr>
        <w:rPr>
          <w:b/>
          <w:sz w:val="22"/>
          <w:szCs w:val="22"/>
        </w:rPr>
      </w:pPr>
    </w:p>
    <w:p w14:paraId="04CD7EA6"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2D0C93F4" wp14:editId="5694D12E">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C93F4"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5A804ACB"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p>
    <w:p w14:paraId="06C23932" w14:textId="77777777" w:rsidR="00D10E88" w:rsidRPr="00D903B4" w:rsidRDefault="00D10E88" w:rsidP="00D10E88">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2629ADE0" wp14:editId="28002DE3">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0455" w14:textId="0D61EC70" w:rsidR="00D10E88" w:rsidRPr="005962C2" w:rsidRDefault="00D10E88" w:rsidP="00D10E88">
                            <w:pPr>
                              <w:pBdr>
                                <w:top w:val="single" w:sz="24" w:space="8" w:color="5B9BD5"/>
                                <w:bottom w:val="single" w:sz="24" w:space="8" w:color="5B9BD5"/>
                              </w:pBdr>
                              <w:jc w:val="both"/>
                              <w:rPr>
                                <w:iCs/>
                                <w:sz w:val="22"/>
                                <w:szCs w:val="22"/>
                              </w:rPr>
                            </w:pPr>
                            <w:r>
                              <w:rPr>
                                <w:iCs/>
                                <w:sz w:val="22"/>
                                <w:szCs w:val="22"/>
                              </w:rPr>
                              <w:t xml:space="preserve">This document contains a preliminary proposal from the United States for WRC-23 agenda item </w:t>
                            </w:r>
                            <w:r w:rsidR="00702D4A">
                              <w:rPr>
                                <w:iCs/>
                                <w:sz w:val="22"/>
                                <w:szCs w:val="22"/>
                              </w:rPr>
                              <w:t>9.1 Topic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9ADE0" id="Text Box 2" o:spid="_x0000_s1027" type="#_x0000_t202" style="position:absolute;margin-left:62.8pt;margin-top:21.45pt;width:494.95pt;height:98.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1A0E0455" w14:textId="0D61EC70" w:rsidR="00D10E88" w:rsidRPr="005962C2" w:rsidRDefault="00D10E88" w:rsidP="00D10E88">
                      <w:pPr>
                        <w:pBdr>
                          <w:top w:val="single" w:sz="24" w:space="8" w:color="5B9BD5"/>
                          <w:bottom w:val="single" w:sz="24" w:space="8" w:color="5B9BD5"/>
                        </w:pBdr>
                        <w:jc w:val="both"/>
                        <w:rPr>
                          <w:iCs/>
                          <w:sz w:val="22"/>
                          <w:szCs w:val="22"/>
                        </w:rPr>
                      </w:pPr>
                      <w:r>
                        <w:rPr>
                          <w:iCs/>
                          <w:sz w:val="22"/>
                          <w:szCs w:val="22"/>
                        </w:rPr>
                        <w:t xml:space="preserve">This document contains a preliminary proposal from the United States for WRC-23 agenda item </w:t>
                      </w:r>
                      <w:r w:rsidR="00702D4A">
                        <w:rPr>
                          <w:iCs/>
                          <w:sz w:val="22"/>
                          <w:szCs w:val="22"/>
                        </w:rPr>
                        <w:t>9.1 Topic C.</w:t>
                      </w:r>
                    </w:p>
                  </w:txbxContent>
                </v:textbox>
                <w10:wrap type="topAndBottom" anchorx="page"/>
              </v:shape>
            </w:pict>
          </mc:Fallback>
        </mc:AlternateContent>
      </w:r>
      <w:r w:rsidRPr="00D903B4">
        <w:rPr>
          <w:b/>
          <w:sz w:val="22"/>
        </w:rPr>
        <w:t xml:space="preserve">Executive Summary: </w:t>
      </w:r>
    </w:p>
    <w:p w14:paraId="6418F8C5" w14:textId="77777777" w:rsidR="00D10E88" w:rsidRPr="00D903B4" w:rsidRDefault="00D10E88" w:rsidP="00D10E88">
      <w:pPr>
        <w:tabs>
          <w:tab w:val="left" w:pos="5497"/>
        </w:tabs>
        <w:rPr>
          <w:b/>
          <w:bCs/>
          <w:sz w:val="24"/>
          <w:szCs w:val="24"/>
        </w:rPr>
      </w:pPr>
    </w:p>
    <w:p w14:paraId="78B3F610" w14:textId="5B1C7467" w:rsidR="00E86A95" w:rsidRPr="00241F6B" w:rsidRDefault="00E86A95" w:rsidP="00EA726F">
      <w:pPr>
        <w:rPr>
          <w:sz w:val="22"/>
          <w:szCs w:val="22"/>
        </w:rPr>
      </w:pPr>
    </w:p>
    <w:p w14:paraId="6DAA73B3" w14:textId="63960D0F" w:rsidR="00E86A95" w:rsidRPr="00241F6B" w:rsidRDefault="00E86A95" w:rsidP="00EA726F">
      <w:pPr>
        <w:rPr>
          <w:sz w:val="22"/>
          <w:szCs w:val="22"/>
        </w:rPr>
      </w:pPr>
    </w:p>
    <w:p w14:paraId="61A29C11" w14:textId="211F8AEA" w:rsidR="00E86A95" w:rsidRPr="00241F6B" w:rsidRDefault="00E86A95" w:rsidP="00EA726F">
      <w:pPr>
        <w:rPr>
          <w:sz w:val="22"/>
          <w:szCs w:val="22"/>
        </w:rPr>
      </w:pPr>
    </w:p>
    <w:p w14:paraId="52210248" w14:textId="28E5D39A" w:rsidR="00E86A95" w:rsidRPr="00241F6B" w:rsidRDefault="00E86A95" w:rsidP="00EA726F">
      <w:pPr>
        <w:rPr>
          <w:sz w:val="22"/>
          <w:szCs w:val="22"/>
        </w:rPr>
      </w:pPr>
    </w:p>
    <w:p w14:paraId="13F384FA" w14:textId="0750F88D" w:rsidR="00E86A95" w:rsidRPr="00241F6B" w:rsidRDefault="00E86A95" w:rsidP="00EA726F">
      <w:pPr>
        <w:rPr>
          <w:sz w:val="22"/>
          <w:szCs w:val="22"/>
        </w:rPr>
      </w:pPr>
    </w:p>
    <w:p w14:paraId="485BDDB6" w14:textId="5831378F" w:rsidR="00E86A95" w:rsidRDefault="00E86A95" w:rsidP="00EA726F">
      <w:pPr>
        <w:rPr>
          <w:sz w:val="22"/>
          <w:szCs w:val="22"/>
        </w:rPr>
      </w:pPr>
    </w:p>
    <w:p w14:paraId="281636BA" w14:textId="77777777" w:rsidR="004C6EFB" w:rsidRPr="004C6EFB" w:rsidRDefault="004C6EFB" w:rsidP="004C6EFB">
      <w:pPr>
        <w:pStyle w:val="Normalaftertitle"/>
        <w:spacing w:before="240"/>
        <w:jc w:val="center"/>
        <w:rPr>
          <w:b/>
          <w:bCs/>
          <w:szCs w:val="24"/>
        </w:rPr>
      </w:pPr>
      <w:r w:rsidRPr="004C6EFB">
        <w:rPr>
          <w:b/>
          <w:bCs/>
          <w:szCs w:val="24"/>
        </w:rPr>
        <w:t>UNITED STATES OF AMERICA</w:t>
      </w:r>
    </w:p>
    <w:p w14:paraId="17996697" w14:textId="294B1B41" w:rsidR="004C6EFB" w:rsidRDefault="004C6EFB" w:rsidP="004C6EFB">
      <w:pPr>
        <w:pStyle w:val="Normalaftertitle"/>
        <w:spacing w:before="240"/>
        <w:jc w:val="center"/>
        <w:rPr>
          <w:b/>
          <w:bCs/>
          <w:szCs w:val="24"/>
        </w:rPr>
      </w:pPr>
      <w:r w:rsidRPr="004C6EFB">
        <w:rPr>
          <w:b/>
          <w:bCs/>
          <w:szCs w:val="24"/>
        </w:rPr>
        <w:t>DRAFT PROPOSALS FOR THE WORK OF THE CONFERENCE</w:t>
      </w:r>
    </w:p>
    <w:p w14:paraId="01EA2830" w14:textId="77777777" w:rsidR="004C6EFB" w:rsidRDefault="004C6EFB" w:rsidP="004C6EFB">
      <w:pPr>
        <w:pStyle w:val="Normalaftertitle"/>
        <w:spacing w:before="240"/>
        <w:rPr>
          <w:b/>
          <w:bCs/>
          <w:szCs w:val="24"/>
        </w:rPr>
      </w:pPr>
    </w:p>
    <w:p w14:paraId="48CEF130" w14:textId="77777777" w:rsidR="00707979" w:rsidRPr="00702D4A" w:rsidRDefault="00707979" w:rsidP="00707979">
      <w:pPr>
        <w:spacing w:after="120"/>
        <w:rPr>
          <w:sz w:val="22"/>
          <w:szCs w:val="22"/>
        </w:rPr>
      </w:pPr>
      <w:r w:rsidRPr="00702D4A">
        <w:rPr>
          <w:b/>
          <w:sz w:val="22"/>
          <w:szCs w:val="22"/>
        </w:rPr>
        <w:t>Agenda Item 9, topic 9.1 c):</w:t>
      </w:r>
      <w:r w:rsidRPr="00702D4A">
        <w:rPr>
          <w:sz w:val="22"/>
          <w:szCs w:val="22"/>
        </w:rPr>
        <w:t xml:space="preserve"> </w:t>
      </w:r>
      <w:r w:rsidRPr="00702D4A">
        <w:rPr>
          <w:i/>
          <w:sz w:val="22"/>
          <w:szCs w:val="22"/>
        </w:rPr>
        <w:tab/>
        <w:t>Use of International Mobile Telecommunications systems for fixed wireless broadband in the frequency bands allocated to the fixed service on a primary basis</w:t>
      </w:r>
    </w:p>
    <w:p w14:paraId="4607ACF5" w14:textId="77777777" w:rsidR="00707979" w:rsidRPr="00702D4A" w:rsidRDefault="00707979" w:rsidP="00707979">
      <w:pPr>
        <w:widowControl w:val="0"/>
        <w:spacing w:after="120"/>
        <w:rPr>
          <w:b/>
          <w:sz w:val="22"/>
          <w:szCs w:val="22"/>
        </w:rPr>
      </w:pPr>
    </w:p>
    <w:p w14:paraId="2F8309C6" w14:textId="77777777" w:rsidR="00707979" w:rsidRPr="00702D4A" w:rsidRDefault="00707979" w:rsidP="00707979">
      <w:pPr>
        <w:widowControl w:val="0"/>
        <w:spacing w:after="120" w:line="244" w:lineRule="auto"/>
        <w:ind w:right="120"/>
        <w:jc w:val="both"/>
        <w:rPr>
          <w:b/>
          <w:sz w:val="22"/>
          <w:szCs w:val="22"/>
        </w:rPr>
      </w:pPr>
      <w:r w:rsidRPr="00702D4A">
        <w:rPr>
          <w:b/>
          <w:sz w:val="22"/>
          <w:szCs w:val="22"/>
        </w:rPr>
        <w:t>Background</w:t>
      </w:r>
    </w:p>
    <w:p w14:paraId="081624F4" w14:textId="77777777" w:rsidR="00707979" w:rsidRPr="00702D4A" w:rsidRDefault="00707979" w:rsidP="00707979">
      <w:pPr>
        <w:spacing w:after="120"/>
        <w:rPr>
          <w:sz w:val="22"/>
          <w:szCs w:val="22"/>
        </w:rPr>
      </w:pPr>
    </w:p>
    <w:p w14:paraId="54946381" w14:textId="77777777" w:rsidR="00707979" w:rsidRPr="00702D4A" w:rsidRDefault="00707979" w:rsidP="00707979">
      <w:pPr>
        <w:spacing w:after="120"/>
        <w:rPr>
          <w:sz w:val="22"/>
          <w:szCs w:val="22"/>
        </w:rPr>
      </w:pPr>
      <w:r w:rsidRPr="00702D4A">
        <w:rPr>
          <w:sz w:val="22"/>
          <w:szCs w:val="22"/>
        </w:rPr>
        <w:t xml:space="preserve">Resolution </w:t>
      </w:r>
      <w:r w:rsidRPr="00702D4A">
        <w:rPr>
          <w:b/>
          <w:bCs/>
          <w:sz w:val="22"/>
          <w:szCs w:val="22"/>
        </w:rPr>
        <w:t>175 (WRC-19)</w:t>
      </w:r>
      <w:r w:rsidRPr="00702D4A">
        <w:rPr>
          <w:sz w:val="22"/>
          <w:szCs w:val="22"/>
        </w:rPr>
        <w:t xml:space="preserve"> </w:t>
      </w:r>
      <w:r w:rsidRPr="00702D4A">
        <w:rPr>
          <w:i/>
          <w:iCs/>
          <w:sz w:val="22"/>
          <w:szCs w:val="22"/>
        </w:rPr>
        <w:t xml:space="preserve">resolves to invite the ITU Radiocommunication Sector </w:t>
      </w:r>
      <w:r w:rsidRPr="00702D4A">
        <w:rPr>
          <w:sz w:val="22"/>
          <w:szCs w:val="22"/>
        </w:rPr>
        <w:t xml:space="preserve">“to conduct any necessary studies on the use of IMT systems for fixed wireless broadband in the frequency bands allocated to the fixed service on primary basis, taking into account the relevant ITU-R studies, Handbooks, Recommendations and Reports,” and </w:t>
      </w:r>
      <w:r w:rsidRPr="00702D4A">
        <w:rPr>
          <w:i/>
          <w:iCs/>
          <w:sz w:val="22"/>
          <w:szCs w:val="22"/>
        </w:rPr>
        <w:t>instructs the Director of the Radiocommunication Bureau “</w:t>
      </w:r>
      <w:r w:rsidRPr="00702D4A">
        <w:rPr>
          <w:sz w:val="22"/>
          <w:szCs w:val="22"/>
        </w:rPr>
        <w:t>to report to WRC-23 on the results of these studies”.</w:t>
      </w:r>
      <w:r w:rsidRPr="00702D4A">
        <w:rPr>
          <w:sz w:val="22"/>
          <w:szCs w:val="22"/>
        </w:rPr>
        <w:br/>
      </w:r>
    </w:p>
    <w:p w14:paraId="5BBA34E9" w14:textId="77777777" w:rsidR="00707979" w:rsidRPr="00702D4A" w:rsidRDefault="00707979" w:rsidP="00707979">
      <w:pPr>
        <w:widowControl w:val="0"/>
        <w:spacing w:after="120"/>
        <w:rPr>
          <w:b/>
          <w:bCs/>
          <w:sz w:val="22"/>
          <w:szCs w:val="22"/>
        </w:rPr>
      </w:pPr>
      <w:r w:rsidRPr="00702D4A">
        <w:rPr>
          <w:b/>
          <w:bCs/>
          <w:sz w:val="22"/>
          <w:szCs w:val="22"/>
        </w:rPr>
        <w:t>Discussion</w:t>
      </w:r>
    </w:p>
    <w:p w14:paraId="118CC1D0" w14:textId="30A9B087" w:rsidR="00707979" w:rsidRPr="00702D4A" w:rsidRDefault="00707979" w:rsidP="00707979">
      <w:pPr>
        <w:rPr>
          <w:sz w:val="22"/>
          <w:szCs w:val="22"/>
          <w:lang w:eastAsia="zh-CN"/>
        </w:rPr>
      </w:pPr>
      <w:r w:rsidRPr="00702D4A">
        <w:rPr>
          <w:sz w:val="22"/>
          <w:szCs w:val="22"/>
        </w:rPr>
        <w:t xml:space="preserve">The ITU-R has previously developed a set of ITU-R recommendations and a study question in which IMT and other mobile technologies can be used to provide fixed wireless access (FWA), including broadband access for fixed and mobile services.  However, these relevant </w:t>
      </w:r>
      <w:proofErr w:type="spellStart"/>
      <w:r w:rsidRPr="00702D4A">
        <w:rPr>
          <w:sz w:val="22"/>
          <w:szCs w:val="22"/>
        </w:rPr>
        <w:t>F.Series</w:t>
      </w:r>
      <w:proofErr w:type="spellEnd"/>
      <w:r w:rsidRPr="00702D4A">
        <w:rPr>
          <w:sz w:val="22"/>
          <w:szCs w:val="22"/>
        </w:rPr>
        <w:t xml:space="preserve"> Recommendations regarding FWA are outdated and do not reflect the current capability of wireless broadband technology.  </w:t>
      </w:r>
      <w:r w:rsidRPr="00702D4A">
        <w:rPr>
          <w:sz w:val="22"/>
          <w:szCs w:val="22"/>
          <w:lang w:eastAsia="zh-CN"/>
        </w:rPr>
        <w:t xml:space="preserve">Based on the studies undertaken on WRC-23 agenda item 9.1 c), the ITU-R is considering approaches that will seek to revise and update Recommendations F.1401-1 and F.1763-1, so that they are more reflective of the current state of technology for broadband fixed wireless access.  Other </w:t>
      </w:r>
      <w:proofErr w:type="spellStart"/>
      <w:r w:rsidRPr="00702D4A">
        <w:rPr>
          <w:sz w:val="22"/>
          <w:szCs w:val="22"/>
          <w:lang w:eastAsia="zh-CN"/>
        </w:rPr>
        <w:t>F.Series</w:t>
      </w:r>
      <w:proofErr w:type="spellEnd"/>
      <w:r w:rsidRPr="00702D4A">
        <w:rPr>
          <w:sz w:val="22"/>
          <w:szCs w:val="22"/>
          <w:lang w:eastAsia="zh-CN"/>
        </w:rPr>
        <w:t xml:space="preserve"> Recommendations/Reports relevant to FWA are also being reviewed. </w:t>
      </w:r>
    </w:p>
    <w:p w14:paraId="1A834A8F" w14:textId="77777777" w:rsidR="00707979" w:rsidRPr="00702D4A" w:rsidRDefault="00707979" w:rsidP="00707979">
      <w:pPr>
        <w:rPr>
          <w:color w:val="000000"/>
          <w:sz w:val="22"/>
          <w:szCs w:val="22"/>
        </w:rPr>
      </w:pPr>
      <w:r w:rsidRPr="00702D4A">
        <w:rPr>
          <w:color w:val="000000"/>
          <w:sz w:val="22"/>
          <w:szCs w:val="22"/>
        </w:rPr>
        <w:t xml:space="preserve">FWA is a way of providing broadband access using wireless links between fixed points. The evolution of FWA solutions and advent of new use cases can enable FWA operators’ further ability to bridge the digital divide and offer connectivity to a broader population and reach underserved areas. </w:t>
      </w:r>
      <w:r w:rsidRPr="00702D4A">
        <w:rPr>
          <w:color w:val="242424"/>
          <w:sz w:val="22"/>
          <w:szCs w:val="22"/>
          <w:shd w:val="clear" w:color="auto" w:fill="FFFFFF"/>
        </w:rPr>
        <w:t>Advancements in IMT network technologies have significantly improved the download, upload and latency capabilities of FWA. Given that upgrades to FWA will rely upon 5G standards and equipment, this compatibility makes FWA scalable.</w:t>
      </w:r>
      <w:r w:rsidRPr="00702D4A">
        <w:rPr>
          <w:color w:val="000000"/>
          <w:sz w:val="22"/>
          <w:szCs w:val="22"/>
        </w:rPr>
        <w:t xml:space="preserve">  </w:t>
      </w:r>
    </w:p>
    <w:p w14:paraId="7F9B562D" w14:textId="61A02DE2" w:rsidR="00707979" w:rsidRPr="00702D4A" w:rsidRDefault="00707979" w:rsidP="00707979">
      <w:pPr>
        <w:spacing w:before="100"/>
        <w:rPr>
          <w:sz w:val="22"/>
          <w:szCs w:val="22"/>
        </w:rPr>
      </w:pPr>
      <w:r w:rsidRPr="00702D4A">
        <w:rPr>
          <w:sz w:val="22"/>
          <w:szCs w:val="22"/>
        </w:rPr>
        <w:t xml:space="preserve">The ITU-R, through the course of its normal Study Group activities, may continue studies towards the development of new, or revision of existing, Reports and Recommendations, to support the future development and use of IMT for fixed wireless broadband in the frequency bands allocated to the fixed and mobile services. </w:t>
      </w:r>
    </w:p>
    <w:p w14:paraId="0545F091" w14:textId="77777777" w:rsidR="00707979" w:rsidRPr="00702D4A" w:rsidRDefault="00707979" w:rsidP="00707979">
      <w:pPr>
        <w:widowControl w:val="0"/>
        <w:spacing w:after="120"/>
        <w:rPr>
          <w:b/>
          <w:bCs/>
          <w:sz w:val="22"/>
          <w:szCs w:val="22"/>
          <w:lang w:val="fr-FR"/>
        </w:rPr>
      </w:pPr>
    </w:p>
    <w:p w14:paraId="66F335C1" w14:textId="77777777" w:rsidR="00702D4A" w:rsidRDefault="00702D4A" w:rsidP="00707979">
      <w:pPr>
        <w:widowControl w:val="0"/>
        <w:spacing w:after="120"/>
        <w:rPr>
          <w:b/>
          <w:bCs/>
          <w:sz w:val="22"/>
          <w:szCs w:val="22"/>
        </w:rPr>
      </w:pPr>
    </w:p>
    <w:p w14:paraId="1E5D8606" w14:textId="77777777" w:rsidR="00702D4A" w:rsidRDefault="00702D4A" w:rsidP="00707979">
      <w:pPr>
        <w:widowControl w:val="0"/>
        <w:spacing w:after="120"/>
        <w:rPr>
          <w:b/>
          <w:bCs/>
          <w:sz w:val="22"/>
          <w:szCs w:val="22"/>
        </w:rPr>
      </w:pPr>
    </w:p>
    <w:p w14:paraId="561C70AB" w14:textId="77777777" w:rsidR="00702D4A" w:rsidRDefault="00702D4A" w:rsidP="00707979">
      <w:pPr>
        <w:widowControl w:val="0"/>
        <w:spacing w:after="120"/>
        <w:rPr>
          <w:b/>
          <w:bCs/>
          <w:sz w:val="22"/>
          <w:szCs w:val="22"/>
        </w:rPr>
      </w:pPr>
    </w:p>
    <w:p w14:paraId="5CAF0B4D" w14:textId="77777777" w:rsidR="00702D4A" w:rsidRDefault="00702D4A" w:rsidP="00707979">
      <w:pPr>
        <w:widowControl w:val="0"/>
        <w:spacing w:after="120"/>
        <w:rPr>
          <w:b/>
          <w:bCs/>
          <w:sz w:val="22"/>
          <w:szCs w:val="22"/>
        </w:rPr>
      </w:pPr>
    </w:p>
    <w:p w14:paraId="4825ED47" w14:textId="77777777" w:rsidR="00702D4A" w:rsidRDefault="00702D4A" w:rsidP="00707979">
      <w:pPr>
        <w:widowControl w:val="0"/>
        <w:spacing w:after="120"/>
        <w:rPr>
          <w:b/>
          <w:bCs/>
          <w:sz w:val="22"/>
          <w:szCs w:val="22"/>
        </w:rPr>
      </w:pPr>
    </w:p>
    <w:p w14:paraId="672A93A9" w14:textId="42516895" w:rsidR="00707979" w:rsidRPr="00702D4A" w:rsidRDefault="00707979" w:rsidP="00707979">
      <w:pPr>
        <w:widowControl w:val="0"/>
        <w:spacing w:after="120"/>
        <w:rPr>
          <w:sz w:val="22"/>
          <w:szCs w:val="22"/>
        </w:rPr>
      </w:pPr>
      <w:r w:rsidRPr="00702D4A">
        <w:rPr>
          <w:b/>
          <w:bCs/>
          <w:sz w:val="22"/>
          <w:szCs w:val="22"/>
        </w:rPr>
        <w:lastRenderedPageBreak/>
        <w:t>Proposals</w:t>
      </w:r>
      <w:r w:rsidRPr="00702D4A">
        <w:rPr>
          <w:sz w:val="22"/>
          <w:szCs w:val="22"/>
        </w:rPr>
        <w:t>:</w:t>
      </w:r>
    </w:p>
    <w:p w14:paraId="676FA1F1" w14:textId="77777777" w:rsidR="00707979" w:rsidRPr="00BD24D0" w:rsidRDefault="00707979" w:rsidP="00707979">
      <w:pPr>
        <w:widowControl w:val="0"/>
        <w:spacing w:after="120"/>
        <w:rPr>
          <w:lang w:val="fr-FR"/>
        </w:rPr>
      </w:pPr>
    </w:p>
    <w:p w14:paraId="40A49BCD" w14:textId="77777777" w:rsidR="00707979" w:rsidRPr="00BD24D0" w:rsidRDefault="00707979" w:rsidP="00707979">
      <w:pPr>
        <w:pStyle w:val="ApptoAnnex"/>
        <w:jc w:val="left"/>
        <w:rPr>
          <w:b/>
          <w:bCs/>
          <w:sz w:val="24"/>
          <w:szCs w:val="24"/>
          <w:lang w:val="fr-FR"/>
        </w:rPr>
      </w:pPr>
      <w:r w:rsidRPr="00D65F1E">
        <w:rPr>
          <w:b/>
          <w:bCs/>
          <w:sz w:val="24"/>
          <w:szCs w:val="24"/>
          <w:u w:val="single"/>
          <w:lang w:val="fr-FR"/>
        </w:rPr>
        <w:t>NOC</w:t>
      </w:r>
      <w:r w:rsidRPr="00BD24D0">
        <w:rPr>
          <w:b/>
          <w:bCs/>
          <w:sz w:val="24"/>
          <w:szCs w:val="24"/>
          <w:lang w:val="fr-FR"/>
        </w:rPr>
        <w:tab/>
        <w:t>USA/9.1-C/1</w:t>
      </w:r>
    </w:p>
    <w:p w14:paraId="05F9EDFA" w14:textId="77777777" w:rsidR="00707979" w:rsidRPr="00BD24D0" w:rsidRDefault="00707979" w:rsidP="00707979">
      <w:pPr>
        <w:pStyle w:val="ArtNo"/>
        <w:spacing w:before="0"/>
      </w:pPr>
      <w:r w:rsidRPr="00BD24D0">
        <w:t xml:space="preserve">ARTICLE </w:t>
      </w:r>
      <w:r w:rsidRPr="00BD24D0">
        <w:rPr>
          <w:rStyle w:val="href"/>
          <w:color w:val="000000"/>
        </w:rPr>
        <w:t>5</w:t>
      </w:r>
    </w:p>
    <w:p w14:paraId="602B55E0" w14:textId="77777777" w:rsidR="00707979" w:rsidRPr="00BD24D0" w:rsidRDefault="00707979" w:rsidP="00707979">
      <w:pPr>
        <w:pStyle w:val="Arttitle"/>
      </w:pPr>
      <w:r w:rsidRPr="00BD24D0">
        <w:t>Frequency allocations</w:t>
      </w:r>
    </w:p>
    <w:p w14:paraId="798A6C35" w14:textId="77777777" w:rsidR="00707979" w:rsidRPr="00BD24D0" w:rsidRDefault="00707979" w:rsidP="00707979">
      <w:pPr>
        <w:widowControl w:val="0"/>
        <w:spacing w:after="120"/>
      </w:pPr>
    </w:p>
    <w:p w14:paraId="4E66146E" w14:textId="3B9B14ED" w:rsidR="00707979" w:rsidRPr="00702D4A" w:rsidRDefault="00707979" w:rsidP="00707979">
      <w:pPr>
        <w:widowControl w:val="0"/>
        <w:spacing w:after="120"/>
        <w:rPr>
          <w:sz w:val="22"/>
          <w:szCs w:val="22"/>
        </w:rPr>
      </w:pPr>
      <w:r w:rsidRPr="00702D4A">
        <w:rPr>
          <w:b/>
          <w:bCs/>
          <w:sz w:val="22"/>
          <w:szCs w:val="22"/>
        </w:rPr>
        <w:t>Reason:</w:t>
      </w:r>
      <w:r w:rsidRPr="00702D4A">
        <w:rPr>
          <w:sz w:val="22"/>
          <w:szCs w:val="22"/>
        </w:rPr>
        <w:t xml:space="preserve">  The United States is of the view that changes to the Radio Regulations are outside the scope of Agenda item 9.1 topics.  No changes to Article 5 including any identification of existing fixed service bands for IMT should be made under this Agenda Item.</w:t>
      </w:r>
    </w:p>
    <w:p w14:paraId="3D2A9E72" w14:textId="77777777" w:rsidR="00707979" w:rsidRPr="00BD24D0" w:rsidRDefault="00707979" w:rsidP="00707979">
      <w:pPr>
        <w:widowControl w:val="0"/>
        <w:spacing w:after="120"/>
      </w:pPr>
    </w:p>
    <w:p w14:paraId="270D5721" w14:textId="77777777" w:rsidR="00707979" w:rsidRPr="00BD24D0" w:rsidRDefault="00707979" w:rsidP="00707979">
      <w:pPr>
        <w:pStyle w:val="ApptoAnnex"/>
        <w:jc w:val="left"/>
        <w:rPr>
          <w:b/>
          <w:bCs/>
          <w:sz w:val="24"/>
          <w:szCs w:val="24"/>
        </w:rPr>
      </w:pPr>
      <w:r w:rsidRPr="00BD24D0">
        <w:rPr>
          <w:b/>
          <w:bCs/>
          <w:sz w:val="24"/>
          <w:szCs w:val="24"/>
        </w:rPr>
        <w:t>SUP</w:t>
      </w:r>
      <w:r w:rsidRPr="00BD24D0">
        <w:rPr>
          <w:b/>
          <w:bCs/>
          <w:sz w:val="24"/>
          <w:szCs w:val="24"/>
        </w:rPr>
        <w:tab/>
        <w:t>USA/9.1-C/2</w:t>
      </w:r>
    </w:p>
    <w:p w14:paraId="45D44D0D" w14:textId="77777777" w:rsidR="00707979" w:rsidRPr="00BD24D0" w:rsidRDefault="00707979" w:rsidP="00707979">
      <w:pPr>
        <w:pStyle w:val="ApptoAnnex"/>
        <w:rPr>
          <w:b/>
          <w:bCs/>
        </w:rPr>
      </w:pPr>
      <w:r w:rsidRPr="00BD24D0">
        <w:rPr>
          <w:b/>
          <w:bCs/>
        </w:rPr>
        <w:t xml:space="preserve"> RESOLUTION 175 (WRC-19)</w:t>
      </w:r>
    </w:p>
    <w:p w14:paraId="7C9CD12C" w14:textId="77777777" w:rsidR="00707979" w:rsidRPr="00BD24D0" w:rsidRDefault="00707979" w:rsidP="00707979">
      <w:pPr>
        <w:pStyle w:val="ApptoAnnex"/>
        <w:rPr>
          <w:b/>
          <w:bCs/>
          <w:caps w:val="0"/>
          <w:szCs w:val="28"/>
        </w:rPr>
      </w:pPr>
      <w:r w:rsidRPr="00BD24D0">
        <w:rPr>
          <w:b/>
          <w:bCs/>
          <w:caps w:val="0"/>
          <w:szCs w:val="28"/>
        </w:rPr>
        <w:t>Use of International Mobile Telecommunications Systems for Fixed Wireless Broadband in the Frequency Bands Allocated to the Fixed Service on a Primary Basis</w:t>
      </w:r>
    </w:p>
    <w:p w14:paraId="271182F1" w14:textId="77777777" w:rsidR="00707979" w:rsidRPr="00BD24D0" w:rsidRDefault="00707979" w:rsidP="00707979">
      <w:pPr>
        <w:widowControl w:val="0"/>
        <w:spacing w:after="120"/>
      </w:pPr>
    </w:p>
    <w:p w14:paraId="65D91810" w14:textId="77777777" w:rsidR="00707979" w:rsidRPr="00702D4A" w:rsidRDefault="00707979" w:rsidP="00707979">
      <w:pPr>
        <w:widowControl w:val="0"/>
        <w:spacing w:after="120"/>
        <w:rPr>
          <w:sz w:val="22"/>
          <w:szCs w:val="22"/>
        </w:rPr>
      </w:pPr>
      <w:r w:rsidRPr="00702D4A">
        <w:rPr>
          <w:b/>
          <w:bCs/>
          <w:sz w:val="22"/>
          <w:szCs w:val="22"/>
        </w:rPr>
        <w:t>Reason:</w:t>
      </w:r>
      <w:r w:rsidRPr="00702D4A">
        <w:rPr>
          <w:sz w:val="22"/>
          <w:szCs w:val="22"/>
        </w:rPr>
        <w:t xml:space="preserve">  Consequential change as no further action is required by WRC-23 to address this topic.</w:t>
      </w:r>
    </w:p>
    <w:p w14:paraId="628E50E7" w14:textId="77777777" w:rsidR="00E86A95" w:rsidRPr="00702D4A" w:rsidRDefault="00E86A95" w:rsidP="00596F6A">
      <w:pPr>
        <w:jc w:val="both"/>
        <w:rPr>
          <w:sz w:val="22"/>
          <w:szCs w:val="22"/>
        </w:rPr>
      </w:pPr>
    </w:p>
    <w:p w14:paraId="14A0CB37" w14:textId="5B137C86" w:rsidR="00DF6653" w:rsidRPr="004C6EFB" w:rsidRDefault="00EA726F">
      <w:pPr>
        <w:rPr>
          <w:sz w:val="24"/>
          <w:szCs w:val="24"/>
        </w:rPr>
      </w:pPr>
      <w:r w:rsidRPr="00E80053">
        <w:rPr>
          <w:noProof/>
        </w:rPr>
        <mc:AlternateContent>
          <mc:Choice Requires="wps">
            <w:drawing>
              <wp:anchor distT="4294967295" distB="4294967295" distL="114300" distR="114300" simplePos="0" relativeHeight="251658240" behindDoc="0" locked="0" layoutInCell="1" allowOverlap="1" wp14:anchorId="2BC4750C" wp14:editId="2ACB2853">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4081" id="Line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"/>
            </w:pict>
          </mc:Fallback>
        </mc:AlternateContent>
      </w:r>
    </w:p>
    <w:sectPr w:rsidR="00DF6653" w:rsidRPr="004C6EFB" w:rsidSect="00E82AC2">
      <w:headerReference w:type="defaul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35F" w14:textId="77777777" w:rsidR="00583151" w:rsidRDefault="0058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86AB" w14:textId="77777777" w:rsidR="00583151" w:rsidRDefault="0058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4A000D" w14:paraId="44AE1723" w14:textId="77777777" w:rsidTr="0001152F">
      <w:trPr>
        <w:cantSplit/>
        <w:trHeight w:val="1629"/>
      </w:trPr>
      <w:tc>
        <w:tcPr>
          <w:tcW w:w="1958" w:type="dxa"/>
        </w:tcPr>
        <w:p w14:paraId="63DA032F" w14:textId="77777777" w:rsidR="007308E1" w:rsidRPr="00F91B57" w:rsidRDefault="007340C0">
          <w:r>
            <w:rPr>
              <w:noProof/>
            </w:rPr>
            <w:drawing>
              <wp:anchor distT="0" distB="0" distL="114300" distR="114300" simplePos="0" relativeHeight="251669504" behindDoc="0" locked="0" layoutInCell="1" allowOverlap="1" wp14:anchorId="3FBE90D1" wp14:editId="0CC66CA2">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0" allowOverlap="1" wp14:anchorId="33423A00" wp14:editId="0EB7DFDB">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293" id="Freeform 5" o:spid="_x0000_s1026" style="position:absolute;margin-left:83.7pt;margin-top:667.6pt;width:1.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1312" behindDoc="0" locked="0" layoutInCell="0" allowOverlap="1" wp14:anchorId="3F137D78" wp14:editId="69C1452D">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6144" id="Rectangle 4" o:spid="_x0000_s1026" style="position:absolute;margin-left:57pt;margin-top:731.15pt;width: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3687AE5C" wp14:editId="0E38BF30">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6BAA"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" o:allowincell="f" stroked="f" strokeweight="0"/>
                </w:pict>
              </mc:Fallback>
            </mc:AlternateContent>
          </w:r>
          <w:r>
            <w:rPr>
              <w:noProof/>
            </w:rPr>
            <mc:AlternateContent>
              <mc:Choice Requires="wps">
                <w:drawing>
                  <wp:anchor distT="0" distB="0" distL="114300" distR="114300" simplePos="0" relativeHeight="251653120" behindDoc="0" locked="0" layoutInCell="0" allowOverlap="1" wp14:anchorId="320B5E05" wp14:editId="7922A786">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7A7F" id="Freeform 2" o:spid="_x0000_s1026" style="position:absolute;margin-left:29.4pt;margin-top:667.6pt;width:3.95pt;height: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49024" behindDoc="0" locked="0" layoutInCell="0" allowOverlap="1" wp14:anchorId="4181CB59" wp14:editId="2B62DEFD">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8E73" id="Rectangle 1" o:spid="_x0000_s1026" style="position:absolute;margin-left:26.45pt;margin-top:696.15pt;width:14.65pt;height:2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" o:allowincell="f" stroked="f" strokeweight="0"/>
                </w:pict>
              </mc:Fallback>
            </mc:AlternateContent>
          </w:r>
        </w:p>
      </w:tc>
      <w:tc>
        <w:tcPr>
          <w:tcW w:w="8221" w:type="dxa"/>
          <w:tcBorders>
            <w:bottom w:val="single" w:sz="18" w:space="0" w:color="auto"/>
          </w:tcBorders>
        </w:tcPr>
        <w:p w14:paraId="3DB9038E" w14:textId="4E7BD30A" w:rsidR="007308E1" w:rsidRPr="007964D7" w:rsidRDefault="00241F6B">
          <w:pPr>
            <w:ind w:left="290"/>
            <w:rPr>
              <w:rFonts w:ascii="ZapfHumnst BT" w:hAnsi="ZapfHumnst BT"/>
              <w:b/>
              <w:sz w:val="25"/>
              <w:lang w:val="es-ES"/>
            </w:rPr>
          </w:pPr>
          <w:r w:rsidRPr="007964D7">
            <w:rPr>
              <w:rFonts w:ascii="ZapfHumnst BT" w:hAnsi="ZapfHumnst BT"/>
              <w:b/>
              <w:sz w:val="25"/>
              <w:lang w:val="es-ES"/>
            </w:rPr>
            <w:t>ORGANIZACI</w:t>
          </w:r>
          <w:r w:rsidR="004A000D">
            <w:rPr>
              <w:rFonts w:ascii="ZapfHumnst BT" w:hAnsi="ZapfHumnst BT"/>
              <w:b/>
              <w:sz w:val="25"/>
              <w:lang w:val="es-ES"/>
            </w:rPr>
            <w:t>Ó</w:t>
          </w:r>
          <w:r w:rsidR="007308E1" w:rsidRPr="007964D7">
            <w:rPr>
              <w:rFonts w:ascii="ZapfHumnst BT" w:hAnsi="ZapfHumnst BT"/>
              <w:b/>
              <w:sz w:val="25"/>
              <w:lang w:val="es-ES"/>
            </w:rPr>
            <w:t xml:space="preserve">N DE LOS ESTADOS AMERICANOS </w:t>
          </w:r>
        </w:p>
        <w:p w14:paraId="7DCA447C" w14:textId="77777777" w:rsidR="007308E1" w:rsidRPr="007964D7" w:rsidRDefault="007308E1">
          <w:pPr>
            <w:ind w:left="290"/>
            <w:rPr>
              <w:rFonts w:ascii="ZapfHumnst BT" w:hAnsi="ZapfHumnst BT"/>
              <w:b/>
              <w:sz w:val="28"/>
              <w:lang w:val="es-ES"/>
            </w:rPr>
          </w:pPr>
          <w:r w:rsidRPr="007964D7">
            <w:rPr>
              <w:rFonts w:ascii="ZapfHumnst BT" w:hAnsi="ZapfHumnst BT"/>
              <w:b/>
              <w:sz w:val="25"/>
              <w:lang w:val="es-ES"/>
            </w:rPr>
            <w:t>ORGANIZATION OF AMERICAN STATES</w:t>
          </w:r>
          <w:r w:rsidRPr="007964D7">
            <w:rPr>
              <w:rFonts w:ascii="ZapfHumnst BT" w:hAnsi="ZapfHumnst BT"/>
              <w:b/>
              <w:sz w:val="24"/>
              <w:lang w:val="es-ES"/>
            </w:rPr>
            <w:t xml:space="preserve"> </w:t>
          </w:r>
        </w:p>
        <w:p w14:paraId="53B24A72" w14:textId="77777777" w:rsidR="007308E1" w:rsidRPr="007964D7" w:rsidRDefault="007308E1">
          <w:pPr>
            <w:tabs>
              <w:tab w:val="left" w:pos="8300"/>
            </w:tabs>
            <w:ind w:right="200"/>
            <w:jc w:val="right"/>
            <w:rPr>
              <w:rFonts w:ascii="ZapfHumnst BT" w:hAnsi="ZapfHumnst BT"/>
              <w:b/>
              <w:sz w:val="24"/>
              <w:lang w:val="es-ES"/>
            </w:rPr>
          </w:pPr>
        </w:p>
        <w:p w14:paraId="79DEEBED" w14:textId="77777777" w:rsidR="007308E1" w:rsidRPr="007964D7" w:rsidRDefault="007308E1">
          <w:pPr>
            <w:tabs>
              <w:tab w:val="left" w:pos="8300"/>
            </w:tabs>
            <w:ind w:right="200"/>
            <w:jc w:val="right"/>
            <w:rPr>
              <w:rFonts w:ascii="ZapfHumnst BT" w:hAnsi="ZapfHumnst BT"/>
              <w:b/>
              <w:sz w:val="25"/>
              <w:lang w:val="es-ES"/>
            </w:rPr>
          </w:pPr>
          <w:r w:rsidRPr="007964D7">
            <w:rPr>
              <w:rFonts w:ascii="ZapfHumnst BT" w:hAnsi="ZapfHumnst BT"/>
              <w:b/>
              <w:sz w:val="24"/>
              <w:lang w:val="es-ES"/>
            </w:rPr>
            <w:t>Comisión Interamericana de Telecomunicaciones</w:t>
          </w:r>
        </w:p>
        <w:p w14:paraId="780DCE3E" w14:textId="77777777" w:rsidR="007308E1" w:rsidRPr="007964D7" w:rsidRDefault="007308E1">
          <w:pPr>
            <w:tabs>
              <w:tab w:val="left" w:pos="8300"/>
            </w:tabs>
            <w:ind w:right="200"/>
            <w:jc w:val="right"/>
            <w:rPr>
              <w:rFonts w:ascii="ZapfHumnst BT" w:hAnsi="ZapfHumnst BT"/>
              <w:b/>
              <w:sz w:val="28"/>
              <w:lang w:val="es-ES"/>
            </w:rPr>
          </w:pPr>
          <w:r w:rsidRPr="007964D7">
            <w:rPr>
              <w:rFonts w:ascii="ZapfHumnst BT" w:hAnsi="ZapfHumnst BT"/>
              <w:b/>
              <w:sz w:val="24"/>
              <w:lang w:val="es-ES"/>
            </w:rPr>
            <w:t>Inter-American Telecommunication Commission</w:t>
          </w:r>
        </w:p>
      </w:tc>
    </w:tr>
  </w:tbl>
  <w:p w14:paraId="65BA61DE" w14:textId="77777777" w:rsidR="007308E1" w:rsidRPr="00F91B57"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5E5703"/>
    <w:multiLevelType w:val="hybridMultilevel"/>
    <w:tmpl w:val="8586F82A"/>
    <w:lvl w:ilvl="0" w:tplc="FC1A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59A147B4"/>
    <w:multiLevelType w:val="hybridMultilevel"/>
    <w:tmpl w:val="36C0CD3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616644E2"/>
    <w:multiLevelType w:val="hybridMultilevel"/>
    <w:tmpl w:val="7792BF7E"/>
    <w:lvl w:ilvl="0" w:tplc="B53EB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A437D"/>
    <w:multiLevelType w:val="hybridMultilevel"/>
    <w:tmpl w:val="1F8A79BA"/>
    <w:lvl w:ilvl="0" w:tplc="14090001">
      <w:start w:val="1"/>
      <w:numFmt w:val="bullet"/>
      <w:lvlText w:val=""/>
      <w:lvlJc w:val="left"/>
      <w:pPr>
        <w:ind w:left="420" w:hanging="420"/>
      </w:pPr>
      <w:rPr>
        <w:rFonts w:ascii="Symbol" w:hAnsi="Symbol" w:hint="default"/>
      </w:rPr>
    </w:lvl>
    <w:lvl w:ilvl="1" w:tplc="3C7820D6">
      <w:numFmt w:val="bullet"/>
      <w:lvlText w:val="-"/>
      <w:lvlJc w:val="left"/>
      <w:pPr>
        <w:ind w:left="1560" w:hanging="114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9"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787819276">
    <w:abstractNumId w:val="0"/>
  </w:num>
  <w:num w:numId="2" w16cid:durableId="1863857207">
    <w:abstractNumId w:val="2"/>
  </w:num>
  <w:num w:numId="3" w16cid:durableId="380059081">
    <w:abstractNumId w:val="8"/>
  </w:num>
  <w:num w:numId="4" w16cid:durableId="1230843848">
    <w:abstractNumId w:val="1"/>
  </w:num>
  <w:num w:numId="5" w16cid:durableId="1623800831">
    <w:abstractNumId w:val="4"/>
  </w:num>
  <w:num w:numId="6" w16cid:durableId="822359201">
    <w:abstractNumId w:val="9"/>
  </w:num>
  <w:num w:numId="7" w16cid:durableId="1807430780">
    <w:abstractNumId w:val="3"/>
  </w:num>
  <w:num w:numId="8" w16cid:durableId="1134955452">
    <w:abstractNumId w:val="7"/>
  </w:num>
  <w:num w:numId="9" w16cid:durableId="494804780">
    <w:abstractNumId w:val="5"/>
  </w:num>
  <w:num w:numId="10" w16cid:durableId="1130826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40193"/>
    <w:rsid w:val="00046DAE"/>
    <w:rsid w:val="00052D8A"/>
    <w:rsid w:val="00081456"/>
    <w:rsid w:val="00083B77"/>
    <w:rsid w:val="000B7255"/>
    <w:rsid w:val="000B7E78"/>
    <w:rsid w:val="000D1775"/>
    <w:rsid w:val="000D4C1A"/>
    <w:rsid w:val="000E33A5"/>
    <w:rsid w:val="00106646"/>
    <w:rsid w:val="00112427"/>
    <w:rsid w:val="00113741"/>
    <w:rsid w:val="00130557"/>
    <w:rsid w:val="0017084E"/>
    <w:rsid w:val="00176C15"/>
    <w:rsid w:val="00177DC8"/>
    <w:rsid w:val="001D1909"/>
    <w:rsid w:val="002178DF"/>
    <w:rsid w:val="00217EFA"/>
    <w:rsid w:val="00220543"/>
    <w:rsid w:val="00240C9F"/>
    <w:rsid w:val="00241F6B"/>
    <w:rsid w:val="002623C9"/>
    <w:rsid w:val="002A4514"/>
    <w:rsid w:val="002A631D"/>
    <w:rsid w:val="002B5A22"/>
    <w:rsid w:val="002B65D6"/>
    <w:rsid w:val="002C569B"/>
    <w:rsid w:val="002C5EF8"/>
    <w:rsid w:val="002D5846"/>
    <w:rsid w:val="002F08EB"/>
    <w:rsid w:val="0030785D"/>
    <w:rsid w:val="00313C59"/>
    <w:rsid w:val="00320409"/>
    <w:rsid w:val="00326C33"/>
    <w:rsid w:val="003355CC"/>
    <w:rsid w:val="0034099B"/>
    <w:rsid w:val="00344FDD"/>
    <w:rsid w:val="00364023"/>
    <w:rsid w:val="003674EA"/>
    <w:rsid w:val="003701A5"/>
    <w:rsid w:val="00370D0B"/>
    <w:rsid w:val="003A11BF"/>
    <w:rsid w:val="003A6B15"/>
    <w:rsid w:val="003B5116"/>
    <w:rsid w:val="003C5D3F"/>
    <w:rsid w:val="003E7951"/>
    <w:rsid w:val="003F5838"/>
    <w:rsid w:val="003F6646"/>
    <w:rsid w:val="00404642"/>
    <w:rsid w:val="004347FF"/>
    <w:rsid w:val="00451B70"/>
    <w:rsid w:val="00476645"/>
    <w:rsid w:val="00494E63"/>
    <w:rsid w:val="004A000D"/>
    <w:rsid w:val="004B39D5"/>
    <w:rsid w:val="004B4BAB"/>
    <w:rsid w:val="004C6EFB"/>
    <w:rsid w:val="004F4CB4"/>
    <w:rsid w:val="004F58F5"/>
    <w:rsid w:val="005036D3"/>
    <w:rsid w:val="00517218"/>
    <w:rsid w:val="005175FB"/>
    <w:rsid w:val="0052422F"/>
    <w:rsid w:val="005246E6"/>
    <w:rsid w:val="0053477B"/>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140C"/>
    <w:rsid w:val="00674BB6"/>
    <w:rsid w:val="00675B08"/>
    <w:rsid w:val="006800D0"/>
    <w:rsid w:val="00680BA4"/>
    <w:rsid w:val="00687F0A"/>
    <w:rsid w:val="0069263A"/>
    <w:rsid w:val="006C59A4"/>
    <w:rsid w:val="006C71AA"/>
    <w:rsid w:val="006F62CC"/>
    <w:rsid w:val="006F7C09"/>
    <w:rsid w:val="00702D4A"/>
    <w:rsid w:val="007043EB"/>
    <w:rsid w:val="00707979"/>
    <w:rsid w:val="00713C39"/>
    <w:rsid w:val="007203D5"/>
    <w:rsid w:val="007308E1"/>
    <w:rsid w:val="007340C0"/>
    <w:rsid w:val="00744A51"/>
    <w:rsid w:val="00770DF8"/>
    <w:rsid w:val="00773D11"/>
    <w:rsid w:val="00784DB5"/>
    <w:rsid w:val="00787930"/>
    <w:rsid w:val="007964D7"/>
    <w:rsid w:val="007C5067"/>
    <w:rsid w:val="007F209B"/>
    <w:rsid w:val="00810D67"/>
    <w:rsid w:val="0081652C"/>
    <w:rsid w:val="00824595"/>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B73BD"/>
    <w:rsid w:val="00BF6558"/>
    <w:rsid w:val="00C05F57"/>
    <w:rsid w:val="00C23474"/>
    <w:rsid w:val="00C24B00"/>
    <w:rsid w:val="00C4469E"/>
    <w:rsid w:val="00C505D3"/>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4898"/>
    <w:rsid w:val="00D16FE5"/>
    <w:rsid w:val="00D273FB"/>
    <w:rsid w:val="00D33469"/>
    <w:rsid w:val="00D36422"/>
    <w:rsid w:val="00D43228"/>
    <w:rsid w:val="00D5204C"/>
    <w:rsid w:val="00D96B94"/>
    <w:rsid w:val="00DA247E"/>
    <w:rsid w:val="00DB2E83"/>
    <w:rsid w:val="00DC0D0A"/>
    <w:rsid w:val="00DC2F6F"/>
    <w:rsid w:val="00DC7FB4"/>
    <w:rsid w:val="00DE11A2"/>
    <w:rsid w:val="00DE6B74"/>
    <w:rsid w:val="00DF6653"/>
    <w:rsid w:val="00E06311"/>
    <w:rsid w:val="00E355D2"/>
    <w:rsid w:val="00E35C7D"/>
    <w:rsid w:val="00E37090"/>
    <w:rsid w:val="00E37B76"/>
    <w:rsid w:val="00E41667"/>
    <w:rsid w:val="00E420D4"/>
    <w:rsid w:val="00E55FDD"/>
    <w:rsid w:val="00E62374"/>
    <w:rsid w:val="00E67F0F"/>
    <w:rsid w:val="00E82AC2"/>
    <w:rsid w:val="00E86A95"/>
    <w:rsid w:val="00E879C2"/>
    <w:rsid w:val="00E91919"/>
    <w:rsid w:val="00EA726F"/>
    <w:rsid w:val="00EB298E"/>
    <w:rsid w:val="00EB773D"/>
    <w:rsid w:val="00ED49AA"/>
    <w:rsid w:val="00EE63C1"/>
    <w:rsid w:val="00EF0849"/>
    <w:rsid w:val="00EF7860"/>
    <w:rsid w:val="00F1782F"/>
    <w:rsid w:val="00F20FDC"/>
    <w:rsid w:val="00F225DB"/>
    <w:rsid w:val="00F25452"/>
    <w:rsid w:val="00F34E74"/>
    <w:rsid w:val="00F4091D"/>
    <w:rsid w:val="00F41950"/>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C6E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iPriority w:val="99"/>
    <w:unhideWhenUsed/>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iPriority w:val="99"/>
    <w:unhideWhenUsed/>
    <w:qFormat/>
    <w:rsid w:val="00E86A95"/>
    <w:rPr>
      <w:rFonts w:ascii="Times New Roman" w:hAnsi="Times New Roman" w:cs="Times New Roman" w:hint="default"/>
      <w:vertAlign w:val="superscript"/>
    </w:rPr>
  </w:style>
  <w:style w:type="paragraph" w:styleId="ListParagraph">
    <w:name w:val="List Paragraph"/>
    <w:basedOn w:val="Normal"/>
    <w:link w:val="ListParagraphChar"/>
    <w:uiPriority w:val="34"/>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iPriority w:val="99"/>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character" w:customStyle="1" w:styleId="Artref">
    <w:name w:val="Art_ref"/>
    <w:rsid w:val="00112427"/>
  </w:style>
  <w:style w:type="paragraph" w:customStyle="1" w:styleId="Tabletitle">
    <w:name w:val="Table_title"/>
    <w:basedOn w:val="Normal"/>
    <w:next w:val="Normal"/>
    <w:link w:val="TabletitleChar"/>
    <w:rsid w:val="00112427"/>
    <w:pPr>
      <w:keepNext/>
      <w:overflowPunct w:val="0"/>
      <w:autoSpaceDE w:val="0"/>
      <w:autoSpaceDN w:val="0"/>
      <w:adjustRightInd w:val="0"/>
      <w:spacing w:after="120"/>
      <w:jc w:val="center"/>
      <w:textAlignment w:val="baseline"/>
    </w:pPr>
    <w:rPr>
      <w:b/>
      <w:sz w:val="24"/>
      <w:szCs w:val="24"/>
      <w:lang w:val="fr-FR"/>
    </w:rPr>
  </w:style>
  <w:style w:type="character" w:customStyle="1" w:styleId="TabletitleChar">
    <w:name w:val="Table_title Char"/>
    <w:link w:val="Tabletitle"/>
    <w:rsid w:val="00112427"/>
    <w:rPr>
      <w:b/>
      <w:sz w:val="24"/>
      <w:szCs w:val="24"/>
      <w:lang w:val="fr-FR"/>
    </w:rPr>
  </w:style>
  <w:style w:type="character" w:customStyle="1" w:styleId="Tablefreq">
    <w:name w:val="Table_freq"/>
    <w:rsid w:val="00112427"/>
    <w:rPr>
      <w:b/>
      <w:color w:val="FFCC00"/>
    </w:rPr>
  </w:style>
  <w:style w:type="paragraph" w:customStyle="1" w:styleId="TableTextS5">
    <w:name w:val="Table_TextS5"/>
    <w:basedOn w:val="Normal"/>
    <w:link w:val="TableTextS5Char"/>
    <w:rsid w:val="0011242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112427"/>
    <w:pPr>
      <w:overflowPunct w:val="0"/>
      <w:autoSpaceDE w:val="0"/>
      <w:autoSpaceDN w:val="0"/>
      <w:adjustRightInd w:val="0"/>
      <w:spacing w:before="80" w:after="80"/>
      <w:jc w:val="center"/>
      <w:textAlignment w:val="baseline"/>
    </w:pPr>
    <w:rPr>
      <w:b/>
      <w:lang w:val="fr-FR"/>
    </w:rPr>
  </w:style>
  <w:style w:type="character" w:customStyle="1" w:styleId="TableheadChar">
    <w:name w:val="Table_head Char"/>
    <w:link w:val="Tablehead"/>
    <w:locked/>
    <w:rsid w:val="00112427"/>
    <w:rPr>
      <w:b/>
      <w:lang w:val="fr-FR"/>
    </w:rPr>
  </w:style>
  <w:style w:type="character" w:customStyle="1" w:styleId="TableTextS5Char">
    <w:name w:val="Table_TextS5 Char"/>
    <w:link w:val="TableTextS5"/>
    <w:rsid w:val="00112427"/>
    <w:rPr>
      <w:lang w:val="fr-FR"/>
    </w:rPr>
  </w:style>
  <w:style w:type="paragraph" w:customStyle="1" w:styleId="Normalaftertitle">
    <w:name w:val="Normal_after_title"/>
    <w:basedOn w:val="Normal"/>
    <w:next w:val="Normal"/>
    <w:link w:val="NormalaftertitleChar"/>
    <w:uiPriority w:val="99"/>
    <w:rsid w:val="00112427"/>
    <w:pPr>
      <w:tabs>
        <w:tab w:val="left" w:pos="1134"/>
        <w:tab w:val="left" w:pos="1871"/>
        <w:tab w:val="left" w:pos="2268"/>
      </w:tabs>
      <w:overflowPunct w:val="0"/>
      <w:autoSpaceDE w:val="0"/>
      <w:autoSpaceDN w:val="0"/>
      <w:adjustRightInd w:val="0"/>
      <w:spacing w:before="360"/>
      <w:textAlignment w:val="baseline"/>
    </w:pPr>
    <w:rPr>
      <w:sz w:val="24"/>
      <w:lang w:val="en-GB"/>
    </w:rPr>
  </w:style>
  <w:style w:type="character" w:customStyle="1" w:styleId="NormalaftertitleChar">
    <w:name w:val="Normal_after_title Char"/>
    <w:link w:val="Normalaftertitle"/>
    <w:uiPriority w:val="99"/>
    <w:locked/>
    <w:rsid w:val="00112427"/>
    <w:rPr>
      <w:sz w:val="24"/>
      <w:lang w:val="en-GB"/>
    </w:rPr>
  </w:style>
  <w:style w:type="character" w:customStyle="1" w:styleId="ListParagraphChar">
    <w:name w:val="List Paragraph Char"/>
    <w:link w:val="ListParagraph"/>
    <w:locked/>
    <w:rsid w:val="00112427"/>
    <w:rPr>
      <w:sz w:val="22"/>
      <w:szCs w:val="22"/>
    </w:rPr>
  </w:style>
  <w:style w:type="character" w:customStyle="1" w:styleId="Heading1Char">
    <w:name w:val="Heading 1 Char"/>
    <w:basedOn w:val="DefaultParagraphFont"/>
    <w:link w:val="Heading1"/>
    <w:rsid w:val="004C6EFB"/>
    <w:rPr>
      <w:rFonts w:asciiTheme="majorHAnsi" w:eastAsiaTheme="majorEastAsia" w:hAnsiTheme="majorHAnsi" w:cstheme="majorBidi"/>
      <w:color w:val="2E74B5" w:themeColor="accent1" w:themeShade="BF"/>
      <w:sz w:val="32"/>
      <w:szCs w:val="32"/>
    </w:rPr>
  </w:style>
  <w:style w:type="paragraph" w:customStyle="1" w:styleId="Restitle">
    <w:name w:val="Res_title"/>
    <w:basedOn w:val="Normal"/>
    <w:next w:val="Normal"/>
    <w:link w:val="RestitleChar"/>
    <w:qFormat/>
    <w:rsid w:val="004C6EFB"/>
    <w:pPr>
      <w:keepNext/>
      <w:keepLines/>
      <w:tabs>
        <w:tab w:val="left" w:pos="1134"/>
        <w:tab w:val="left" w:pos="1871"/>
        <w:tab w:val="left" w:pos="2268"/>
      </w:tabs>
      <w:overflowPunct w:val="0"/>
      <w:autoSpaceDE w:val="0"/>
      <w:autoSpaceDN w:val="0"/>
      <w:adjustRightInd w:val="0"/>
      <w:spacing w:before="240"/>
      <w:jc w:val="center"/>
      <w:textAlignment w:val="baseline"/>
      <w:outlineLvl w:val="0"/>
    </w:pPr>
    <w:rPr>
      <w:rFonts w:ascii="Times New Roman Bold" w:hAnsi="Times New Roman Bold"/>
      <w:b/>
      <w:sz w:val="28"/>
      <w:lang w:val="en-GB"/>
    </w:rPr>
  </w:style>
  <w:style w:type="character" w:customStyle="1" w:styleId="RestitleChar">
    <w:name w:val="Res_title Char"/>
    <w:link w:val="Restitle"/>
    <w:qFormat/>
    <w:rsid w:val="004C6EFB"/>
    <w:rPr>
      <w:rFonts w:ascii="Times New Roman Bold" w:hAnsi="Times New Roman Bold"/>
      <w:b/>
      <w:sz w:val="28"/>
      <w:lang w:val="en-GB"/>
    </w:rPr>
  </w:style>
  <w:style w:type="paragraph" w:customStyle="1" w:styleId="ArtNo">
    <w:name w:val="Art_No"/>
    <w:basedOn w:val="Normal"/>
    <w:next w:val="Arttitle"/>
    <w:link w:val="ArtNoChar"/>
    <w:rsid w:val="0030785D"/>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30785D"/>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rsid w:val="0030785D"/>
    <w:rPr>
      <w:b/>
      <w:sz w:val="28"/>
      <w:lang w:val="en-GB"/>
    </w:rPr>
  </w:style>
  <w:style w:type="character" w:customStyle="1" w:styleId="ArtNoChar">
    <w:name w:val="Art_No Char"/>
    <w:link w:val="ArtNo"/>
    <w:rsid w:val="0030785D"/>
    <w:rPr>
      <w:caps/>
      <w:sz w:val="28"/>
      <w:lang w:val="en-GB"/>
    </w:rPr>
  </w:style>
  <w:style w:type="paragraph" w:customStyle="1" w:styleId="Section1">
    <w:name w:val="Section_1"/>
    <w:basedOn w:val="Normal"/>
    <w:rsid w:val="0030785D"/>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Note">
    <w:name w:val="Note"/>
    <w:basedOn w:val="Normal"/>
    <w:next w:val="Normal"/>
    <w:link w:val="NoteChar"/>
    <w:rsid w:val="0030785D"/>
    <w:pPr>
      <w:tabs>
        <w:tab w:val="left" w:pos="284"/>
        <w:tab w:val="left" w:pos="1134"/>
        <w:tab w:val="left" w:pos="1871"/>
        <w:tab w:val="left" w:pos="2268"/>
      </w:tabs>
      <w:overflowPunct w:val="0"/>
      <w:autoSpaceDE w:val="0"/>
      <w:autoSpaceDN w:val="0"/>
      <w:adjustRightInd w:val="0"/>
      <w:spacing w:before="80"/>
      <w:textAlignment w:val="baseline"/>
    </w:pPr>
    <w:rPr>
      <w:sz w:val="22"/>
      <w:lang w:val="en-GB"/>
    </w:rPr>
  </w:style>
  <w:style w:type="character" w:customStyle="1" w:styleId="Artdef">
    <w:name w:val="Art_def"/>
    <w:rsid w:val="0030785D"/>
    <w:rPr>
      <w:rFonts w:ascii="Times New Roman" w:hAnsi="Times New Roman"/>
      <w:b/>
    </w:rPr>
  </w:style>
  <w:style w:type="character" w:customStyle="1" w:styleId="NoteChar">
    <w:name w:val="Note Char"/>
    <w:link w:val="Note"/>
    <w:qFormat/>
    <w:locked/>
    <w:rsid w:val="0030785D"/>
    <w:rPr>
      <w:sz w:val="22"/>
      <w:lang w:val="en-GB"/>
    </w:rPr>
  </w:style>
  <w:style w:type="paragraph" w:customStyle="1" w:styleId="Normalaftertitle0">
    <w:name w:val="Normal after title"/>
    <w:basedOn w:val="Normal"/>
    <w:next w:val="Normal"/>
    <w:link w:val="NormalaftertitleChar0"/>
    <w:qFormat/>
    <w:rsid w:val="00707979"/>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0">
    <w:name w:val="Normal after title Char"/>
    <w:link w:val="Normalaftertitle0"/>
    <w:locked/>
    <w:rsid w:val="00707979"/>
    <w:rPr>
      <w:sz w:val="24"/>
      <w:lang w:val="fr-FR"/>
    </w:rPr>
  </w:style>
  <w:style w:type="paragraph" w:customStyle="1" w:styleId="ApptoAnnex">
    <w:name w:val="App_to_Annex"/>
    <w:basedOn w:val="Normal"/>
    <w:next w:val="Normal"/>
    <w:qFormat/>
    <w:rsid w:val="0070797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5</TotalTime>
  <Pages>3</Pages>
  <Words>509</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3468</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7</cp:revision>
  <cp:lastPrinted>1999-10-11T18:56:00Z</cp:lastPrinted>
  <dcterms:created xsi:type="dcterms:W3CDTF">2022-10-04T19:04:00Z</dcterms:created>
  <dcterms:modified xsi:type="dcterms:W3CDTF">2022-10-06T18:54:00Z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