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777777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268B68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Pr="00797879">
              <w:rPr>
                <w:iCs/>
                <w:color w:val="000000"/>
                <w:sz w:val="24"/>
                <w:szCs w:val="24"/>
              </w:rPr>
              <w:t> </w:t>
            </w:r>
            <w:r w:rsidRPr="00797879">
              <w:rPr>
                <w:iCs/>
                <w:color w:val="000000"/>
                <w:sz w:val="24"/>
                <w:szCs w:val="24"/>
              </w:rPr>
              <w:t> </w:t>
            </w:r>
            <w:r w:rsidRPr="00797879">
              <w:rPr>
                <w:iCs/>
                <w:color w:val="000000"/>
                <w:sz w:val="24"/>
                <w:szCs w:val="24"/>
              </w:rPr>
              <w:t> </w:t>
            </w:r>
            <w:r w:rsidRPr="00797879">
              <w:rPr>
                <w:iCs/>
                <w:color w:val="000000"/>
                <w:sz w:val="24"/>
                <w:szCs w:val="24"/>
              </w:rPr>
              <w:t> </w:t>
            </w:r>
            <w:r w:rsidRPr="00797879">
              <w:rPr>
                <w:iCs/>
                <w:color w:val="000000"/>
                <w:sz w:val="24"/>
                <w:szCs w:val="24"/>
              </w:rPr>
              <w:t> </w:t>
            </w:r>
            <w:r w:rsidRPr="00797879">
              <w:rPr>
                <w:iCs/>
                <w:color w:val="000000"/>
                <w:sz w:val="24"/>
                <w:szCs w:val="24"/>
              </w:rPr>
              <w:fldChar w:fldCharType="end"/>
            </w:r>
          </w:p>
        </w:tc>
        <w:tc>
          <w:tcPr>
            <w:tcW w:w="2811" w:type="dxa"/>
          </w:tcPr>
          <w:p w14:paraId="1D2F727A" w14:textId="7777777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c>
          <w:tcPr>
            <w:tcW w:w="3362" w:type="dxa"/>
          </w:tcPr>
          <w:p w14:paraId="40478172" w14:textId="7777777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777777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77777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777777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777777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777777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B00D5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292811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2509A3">
              <w:rPr>
                <w:b/>
                <w:sz w:val="24"/>
                <w:szCs w:val="24"/>
              </w:rPr>
            </w:r>
            <w:r w:rsidR="002509A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C1D465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509A3">
              <w:rPr>
                <w:b/>
                <w:sz w:val="22"/>
                <w:szCs w:val="22"/>
              </w:rPr>
            </w:r>
            <w:r w:rsidR="002509A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2509A3">
        <w:rPr>
          <w:rFonts w:ascii="Times New Roman" w:hAnsi="Times New Roman" w:cs="Times New Roman"/>
          <w:b w:val="0"/>
          <w:noProof w:val="0"/>
          <w:sz w:val="24"/>
          <w:szCs w:val="24"/>
        </w:rPr>
      </w:r>
      <w:r w:rsidR="002509A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509A3">
              <w:rPr>
                <w:b/>
                <w:sz w:val="24"/>
                <w:szCs w:val="24"/>
              </w:rPr>
            </w:r>
            <w:r w:rsidR="002509A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509A3">
              <w:rPr>
                <w:b/>
                <w:sz w:val="24"/>
                <w:szCs w:val="24"/>
              </w:rPr>
            </w:r>
            <w:r w:rsidR="002509A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lastRenderedPageBreak/>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509A3">
              <w:rPr>
                <w:b/>
                <w:sz w:val="24"/>
                <w:szCs w:val="24"/>
              </w:rPr>
            </w:r>
            <w:r w:rsidR="002509A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509A3">
              <w:rPr>
                <w:b/>
                <w:sz w:val="24"/>
                <w:szCs w:val="24"/>
              </w:rPr>
            </w:r>
            <w:r w:rsidR="002509A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509A3">
              <w:rPr>
                <w:b/>
                <w:sz w:val="24"/>
                <w:szCs w:val="24"/>
              </w:rPr>
            </w:r>
            <w:r w:rsidR="002509A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2509A3">
              <w:rPr>
                <w:b/>
                <w:sz w:val="24"/>
                <w:szCs w:val="24"/>
              </w:rPr>
            </w:r>
            <w:r w:rsidR="002509A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2509A3">
              <w:rPr>
                <w:rFonts w:ascii="Times New Roman" w:hAnsi="Times New Roman" w:cs="Times New Roman"/>
                <w:b/>
                <w:sz w:val="24"/>
                <w:szCs w:val="24"/>
              </w:rPr>
            </w:r>
            <w:r w:rsidR="002509A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2509A3">
              <w:rPr>
                <w:b/>
                <w:sz w:val="24"/>
                <w:szCs w:val="24"/>
              </w:rPr>
            </w:r>
            <w:r w:rsidR="002509A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7777777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777777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2509A3">
              <w:rPr>
                <w:b/>
                <w:sz w:val="24"/>
                <w:szCs w:val="24"/>
              </w:rPr>
            </w:r>
            <w:r w:rsidR="002509A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509A3">
              <w:rPr>
                <w:b/>
                <w:sz w:val="24"/>
                <w:szCs w:val="24"/>
              </w:rPr>
            </w:r>
            <w:r w:rsidR="002509A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2509A3">
              <w:rPr>
                <w:b/>
                <w:sz w:val="24"/>
                <w:szCs w:val="24"/>
              </w:rPr>
            </w:r>
            <w:r w:rsidR="002509A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509A3">
              <w:rPr>
                <w:b/>
                <w:sz w:val="24"/>
                <w:szCs w:val="24"/>
              </w:rPr>
            </w:r>
            <w:r w:rsidR="002509A3">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2509A3">
              <w:rPr>
                <w:b/>
                <w:sz w:val="24"/>
                <w:szCs w:val="24"/>
              </w:rPr>
            </w:r>
            <w:r w:rsidR="002509A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lastRenderedPageBreak/>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4006</Words>
  <Characters>22839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2023-03-08T18:03:00Z</dcterms:modified>
</cp:coreProperties>
</file>