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D94FE" w14:textId="56A704DA" w:rsidR="001B0881" w:rsidRPr="00AC2BC7" w:rsidRDefault="00F0723E" w:rsidP="006B4D00">
      <w:pPr>
        <w:jc w:val="center"/>
        <w:rPr>
          <w:rFonts w:ascii="Times New Roman" w:hAnsi="Times New Roman" w:cs="Times New Roman"/>
          <w:b/>
        </w:rPr>
      </w:pPr>
      <w:r>
        <w:rPr>
          <w:rFonts w:ascii="Times New Roman" w:hAnsi="Times New Roman" w:cs="Times New Roman"/>
          <w:b/>
        </w:rPr>
        <w:t>2018</w:t>
      </w:r>
      <w:r w:rsidR="000A68A2" w:rsidRPr="00AC2BC7">
        <w:rPr>
          <w:rFonts w:ascii="Times New Roman" w:hAnsi="Times New Roman" w:cs="Times New Roman"/>
          <w:b/>
        </w:rPr>
        <w:t xml:space="preserve"> </w:t>
      </w:r>
      <w:r w:rsidR="00C86314" w:rsidRPr="00AC2BC7">
        <w:rPr>
          <w:rFonts w:ascii="Times New Roman" w:hAnsi="Times New Roman" w:cs="Times New Roman"/>
          <w:b/>
        </w:rPr>
        <w:t>Urban Rate Survey –</w:t>
      </w:r>
      <w:r w:rsidR="00022D85" w:rsidRPr="00AC2BC7">
        <w:rPr>
          <w:rFonts w:ascii="Times New Roman" w:hAnsi="Times New Roman" w:cs="Times New Roman"/>
          <w:b/>
        </w:rPr>
        <w:t xml:space="preserve"> </w:t>
      </w:r>
      <w:r w:rsidR="00A4154B" w:rsidRPr="00AC2BC7">
        <w:rPr>
          <w:rFonts w:ascii="Times New Roman" w:hAnsi="Times New Roman" w:cs="Times New Roman"/>
          <w:b/>
        </w:rPr>
        <w:t>Rates for Fixed Voice Service</w:t>
      </w:r>
    </w:p>
    <w:p w14:paraId="25498AAC" w14:textId="77777777" w:rsidR="00BC4199" w:rsidRPr="00AC2BC7" w:rsidRDefault="00BC4199" w:rsidP="00224E0D">
      <w:pPr>
        <w:rPr>
          <w:rFonts w:ascii="Times New Roman" w:hAnsi="Times New Roman" w:cs="Times New Roman"/>
          <w:b/>
        </w:rPr>
      </w:pPr>
      <w:r w:rsidRPr="00AC2BC7">
        <w:rPr>
          <w:rFonts w:ascii="Times New Roman" w:hAnsi="Times New Roman" w:cs="Times New Roman"/>
          <w:b/>
        </w:rPr>
        <w:t>Introduction</w:t>
      </w:r>
    </w:p>
    <w:p w14:paraId="7F5CFA35" w14:textId="20BFCE52" w:rsidR="002361FE" w:rsidRPr="00AC2BC7" w:rsidRDefault="004566E0" w:rsidP="00121172">
      <w:pPr>
        <w:spacing w:line="240" w:lineRule="auto"/>
        <w:rPr>
          <w:rFonts w:ascii="Times New Roman" w:hAnsi="Times New Roman" w:cs="Times New Roman"/>
        </w:rPr>
      </w:pPr>
      <w:r w:rsidRPr="00AC2BC7">
        <w:rPr>
          <w:rFonts w:ascii="Times New Roman" w:hAnsi="Times New Roman" w:cs="Times New Roman"/>
        </w:rPr>
        <w:t xml:space="preserve">Every year, the </w:t>
      </w:r>
      <w:r w:rsidR="00503F26" w:rsidRPr="00AC2BC7">
        <w:rPr>
          <w:rFonts w:ascii="Times New Roman" w:hAnsi="Times New Roman" w:cs="Times New Roman"/>
        </w:rPr>
        <w:t>Wireline Competition Bureau</w:t>
      </w:r>
      <w:r w:rsidR="00B92F8A" w:rsidRPr="00AC2BC7">
        <w:rPr>
          <w:rFonts w:ascii="Times New Roman" w:hAnsi="Times New Roman" w:cs="Times New Roman"/>
        </w:rPr>
        <w:t xml:space="preserve"> </w:t>
      </w:r>
      <w:r w:rsidR="00776AA0" w:rsidRPr="00AC2BC7">
        <w:rPr>
          <w:rFonts w:ascii="Times New Roman" w:hAnsi="Times New Roman" w:cs="Times New Roman"/>
        </w:rPr>
        <w:t xml:space="preserve">(Bureau) </w:t>
      </w:r>
      <w:r w:rsidRPr="00AC2BC7">
        <w:rPr>
          <w:rFonts w:ascii="Times New Roman" w:hAnsi="Times New Roman" w:cs="Times New Roman"/>
        </w:rPr>
        <w:t xml:space="preserve">surveys </w:t>
      </w:r>
      <w:r w:rsidR="002B484D" w:rsidRPr="00AC2BC7">
        <w:rPr>
          <w:rFonts w:ascii="Times New Roman" w:hAnsi="Times New Roman" w:cs="Times New Roman"/>
        </w:rPr>
        <w:t xml:space="preserve">the rates for standalone telephone service charged by </w:t>
      </w:r>
      <w:r w:rsidRPr="00AC2BC7">
        <w:rPr>
          <w:rFonts w:ascii="Times New Roman" w:hAnsi="Times New Roman" w:cs="Times New Roman"/>
        </w:rPr>
        <w:t xml:space="preserve">a representative sample of </w:t>
      </w:r>
      <w:r w:rsidR="00D03C70" w:rsidRPr="00AC2BC7">
        <w:rPr>
          <w:rFonts w:ascii="Times New Roman" w:hAnsi="Times New Roman" w:cs="Times New Roman"/>
        </w:rPr>
        <w:t xml:space="preserve">fixed voice providers </w:t>
      </w:r>
      <w:r w:rsidR="00B225E5" w:rsidRPr="00AC2BC7">
        <w:rPr>
          <w:rFonts w:ascii="Times New Roman" w:hAnsi="Times New Roman" w:cs="Times New Roman"/>
        </w:rPr>
        <w:t>to</w:t>
      </w:r>
      <w:r w:rsidR="002B7072" w:rsidRPr="00AC2BC7">
        <w:rPr>
          <w:rFonts w:ascii="Times New Roman" w:hAnsi="Times New Roman" w:cs="Times New Roman"/>
        </w:rPr>
        <w:t xml:space="preserve"> “establish a rate floor that eligible </w:t>
      </w:r>
      <w:r w:rsidRPr="00AC2BC7">
        <w:rPr>
          <w:rFonts w:ascii="Times New Roman" w:hAnsi="Times New Roman" w:cs="Times New Roman"/>
        </w:rPr>
        <w:t>telecommunications carriers (ETCs) receiving high-cost loop support (HCLS) or frozen high-cost support must meet to receive their full support amounts and to help ensure that universal service support recipients offering fixed voice and broadband services do so at reasonably comparable rates to those in urban areas.”</w:t>
      </w:r>
      <w:r w:rsidR="00625FAC" w:rsidRPr="00AC2BC7">
        <w:rPr>
          <w:rStyle w:val="FootnoteReference"/>
          <w:rFonts w:ascii="Times New Roman" w:hAnsi="Times New Roman" w:cs="Times New Roman"/>
        </w:rPr>
        <w:footnoteReference w:id="1"/>
      </w:r>
      <w:r w:rsidR="00503F26" w:rsidRPr="00AC2BC7">
        <w:rPr>
          <w:rFonts w:ascii="Times New Roman" w:hAnsi="Times New Roman" w:cs="Times New Roman"/>
        </w:rPr>
        <w:t xml:space="preserve"> </w:t>
      </w:r>
      <w:r w:rsidR="00EF13F6" w:rsidRPr="00AC2BC7">
        <w:rPr>
          <w:rFonts w:ascii="Times New Roman" w:hAnsi="Times New Roman" w:cs="Times New Roman"/>
        </w:rPr>
        <w:t xml:space="preserve">This document shows how the rate floor and the </w:t>
      </w:r>
      <w:r w:rsidR="00D03C70" w:rsidRPr="00AC2BC7">
        <w:rPr>
          <w:rFonts w:ascii="Times New Roman" w:hAnsi="Times New Roman" w:cs="Times New Roman"/>
        </w:rPr>
        <w:t xml:space="preserve">reasonable </w:t>
      </w:r>
      <w:r w:rsidR="00EF13F6" w:rsidRPr="00AC2BC7">
        <w:rPr>
          <w:rFonts w:ascii="Times New Roman" w:hAnsi="Times New Roman" w:cs="Times New Roman"/>
        </w:rPr>
        <w:t xml:space="preserve">comparability benchmark </w:t>
      </w:r>
      <w:r w:rsidR="009F5199" w:rsidRPr="00AC2BC7">
        <w:rPr>
          <w:rFonts w:ascii="Times New Roman" w:hAnsi="Times New Roman" w:cs="Times New Roman"/>
        </w:rPr>
        <w:t xml:space="preserve">for fixed voice service </w:t>
      </w:r>
      <w:r w:rsidR="00C60A07" w:rsidRPr="0007699A">
        <w:rPr>
          <w:rFonts w:ascii="Times New Roman" w:hAnsi="Times New Roman" w:cs="Times New Roman"/>
        </w:rPr>
        <w:t xml:space="preserve">were </w:t>
      </w:r>
      <w:r w:rsidR="00EF13F6" w:rsidRPr="0007699A">
        <w:rPr>
          <w:rFonts w:ascii="Times New Roman" w:hAnsi="Times New Roman" w:cs="Times New Roman"/>
        </w:rPr>
        <w:t>calculated</w:t>
      </w:r>
      <w:r w:rsidR="002361FE" w:rsidRPr="0007699A">
        <w:rPr>
          <w:rFonts w:ascii="Times New Roman" w:hAnsi="Times New Roman" w:cs="Times New Roman"/>
        </w:rPr>
        <w:t xml:space="preserve"> </w:t>
      </w:r>
      <w:r w:rsidR="00934E1E" w:rsidRPr="0007699A">
        <w:rPr>
          <w:rFonts w:ascii="Times New Roman" w:hAnsi="Times New Roman" w:cs="Times New Roman"/>
        </w:rPr>
        <w:t xml:space="preserve">based on </w:t>
      </w:r>
      <w:r w:rsidR="002361FE" w:rsidRPr="0007699A">
        <w:rPr>
          <w:rFonts w:ascii="Times New Roman" w:hAnsi="Times New Roman" w:cs="Times New Roman"/>
        </w:rPr>
        <w:t xml:space="preserve">the </w:t>
      </w:r>
      <w:r w:rsidR="00F0723E" w:rsidRPr="0007699A">
        <w:rPr>
          <w:rFonts w:ascii="Times New Roman" w:hAnsi="Times New Roman" w:cs="Times New Roman"/>
        </w:rPr>
        <w:t>2018</w:t>
      </w:r>
      <w:r w:rsidR="009F5199" w:rsidRPr="0007699A">
        <w:rPr>
          <w:rFonts w:ascii="Times New Roman" w:hAnsi="Times New Roman" w:cs="Times New Roman"/>
        </w:rPr>
        <w:t xml:space="preserve"> Urban Rate Survey</w:t>
      </w:r>
      <w:r w:rsidR="00EF13F6" w:rsidRPr="0007699A">
        <w:rPr>
          <w:rFonts w:ascii="Times New Roman" w:hAnsi="Times New Roman" w:cs="Times New Roman"/>
        </w:rPr>
        <w:t>.</w:t>
      </w:r>
      <w:r w:rsidR="00503F26" w:rsidRPr="0007699A">
        <w:rPr>
          <w:rFonts w:ascii="Times New Roman" w:hAnsi="Times New Roman" w:cs="Times New Roman"/>
        </w:rPr>
        <w:t xml:space="preserve"> </w:t>
      </w:r>
      <w:r w:rsidR="009E0056" w:rsidRPr="0007699A">
        <w:rPr>
          <w:rFonts w:ascii="Times New Roman" w:hAnsi="Times New Roman" w:cs="Times New Roman"/>
        </w:rPr>
        <w:t xml:space="preserve"> </w:t>
      </w:r>
      <w:r w:rsidR="009E0056" w:rsidRPr="00594970">
        <w:rPr>
          <w:rFonts w:ascii="Times New Roman" w:hAnsi="Times New Roman" w:cs="Times New Roman"/>
        </w:rPr>
        <w:t xml:space="preserve">However, in May 2017, the Commission </w:t>
      </w:r>
      <w:r w:rsidR="0007699A" w:rsidRPr="00594970">
        <w:rPr>
          <w:rFonts w:ascii="Times New Roman" w:hAnsi="Times New Roman" w:cs="Times New Roman"/>
        </w:rPr>
        <w:t>adopted</w:t>
      </w:r>
      <w:r w:rsidR="009E0056" w:rsidRPr="00594970">
        <w:rPr>
          <w:rFonts w:ascii="Times New Roman" w:hAnsi="Times New Roman" w:cs="Times New Roman"/>
        </w:rPr>
        <w:t xml:space="preserve"> a Notice of Proposed Rulemaking </w:t>
      </w:r>
      <w:r w:rsidR="0007699A" w:rsidRPr="00594970">
        <w:rPr>
          <w:rFonts w:ascii="Times New Roman" w:hAnsi="Times New Roman" w:cs="Times New Roman"/>
        </w:rPr>
        <w:t>seeking comment on whethe</w:t>
      </w:r>
      <w:bookmarkStart w:id="0" w:name="_GoBack"/>
      <w:bookmarkEnd w:id="0"/>
      <w:r w:rsidR="0007699A" w:rsidRPr="00594970">
        <w:rPr>
          <w:rFonts w:ascii="Times New Roman" w:hAnsi="Times New Roman" w:cs="Times New Roman"/>
        </w:rPr>
        <w:t>r any changes should be made to the rate floor methodology or whether the rate floor should be eliminated.</w:t>
      </w:r>
      <w:r w:rsidR="0007699A">
        <w:rPr>
          <w:rStyle w:val="FootnoteReference"/>
          <w:rFonts w:ascii="Times New Roman" w:hAnsi="Times New Roman" w:cs="Times New Roman"/>
        </w:rPr>
        <w:footnoteReference w:id="2"/>
      </w:r>
      <w:r w:rsidR="0007699A" w:rsidRPr="00594970">
        <w:rPr>
          <w:rFonts w:ascii="Times New Roman" w:hAnsi="Times New Roman" w:cs="Times New Roman"/>
        </w:rPr>
        <w:t xml:space="preserve">  Pending this review, the Commission </w:t>
      </w:r>
      <w:r w:rsidR="009E0056" w:rsidRPr="00594970">
        <w:rPr>
          <w:rFonts w:ascii="Times New Roman" w:hAnsi="Times New Roman" w:cs="Times New Roman"/>
        </w:rPr>
        <w:t xml:space="preserve">froze the rate at which support reductions </w:t>
      </w:r>
      <w:r w:rsidR="0007699A" w:rsidRPr="00594970">
        <w:rPr>
          <w:rFonts w:ascii="Times New Roman" w:hAnsi="Times New Roman" w:cs="Times New Roman"/>
        </w:rPr>
        <w:t xml:space="preserve">to universal service funding </w:t>
      </w:r>
      <w:r w:rsidR="009E0056" w:rsidRPr="00594970">
        <w:rPr>
          <w:rFonts w:ascii="Times New Roman" w:hAnsi="Times New Roman" w:cs="Times New Roman"/>
        </w:rPr>
        <w:t>would occur at $18 until July 1, 2018 or until the Commission takes further action.</w:t>
      </w:r>
      <w:r w:rsidR="0007699A" w:rsidRPr="00594970">
        <w:rPr>
          <w:rStyle w:val="FootnoteReference"/>
          <w:rFonts w:ascii="Times New Roman" w:hAnsi="Times New Roman" w:cs="Times New Roman"/>
        </w:rPr>
        <w:footnoteReference w:id="3"/>
      </w:r>
      <w:r w:rsidR="009E0056">
        <w:t xml:space="preserve">  </w:t>
      </w:r>
    </w:p>
    <w:p w14:paraId="3AC3045C" w14:textId="02992F0D" w:rsidR="00BC4199" w:rsidRPr="00AC2BC7" w:rsidRDefault="00BC4199" w:rsidP="00121172">
      <w:pPr>
        <w:spacing w:line="240" w:lineRule="auto"/>
        <w:rPr>
          <w:rFonts w:ascii="Times New Roman" w:hAnsi="Times New Roman" w:cs="Times New Roman"/>
        </w:rPr>
      </w:pPr>
      <w:r w:rsidRPr="00AC2BC7">
        <w:rPr>
          <w:rFonts w:ascii="Times New Roman" w:hAnsi="Times New Roman" w:cs="Times New Roman"/>
        </w:rPr>
        <w:t xml:space="preserve">The </w:t>
      </w:r>
      <w:r w:rsidR="00F0723E">
        <w:rPr>
          <w:rFonts w:ascii="Times New Roman" w:hAnsi="Times New Roman" w:cs="Times New Roman"/>
        </w:rPr>
        <w:t>2018</w:t>
      </w:r>
      <w:r w:rsidRPr="00AC2BC7">
        <w:rPr>
          <w:rFonts w:ascii="Times New Roman" w:hAnsi="Times New Roman" w:cs="Times New Roman"/>
        </w:rPr>
        <w:t xml:space="preserve"> Urban Rate Survey (URS) received </w:t>
      </w:r>
      <w:r w:rsidR="00F0723E">
        <w:rPr>
          <w:rFonts w:ascii="Times New Roman" w:hAnsi="Times New Roman" w:cs="Times New Roman"/>
        </w:rPr>
        <w:t>423</w:t>
      </w:r>
      <w:r w:rsidR="00EC33DC" w:rsidRPr="00AC2BC7">
        <w:rPr>
          <w:rFonts w:ascii="Times New Roman" w:hAnsi="Times New Roman" w:cs="Times New Roman"/>
        </w:rPr>
        <w:t xml:space="preserve"> </w:t>
      </w:r>
      <w:r w:rsidRPr="00AC2BC7">
        <w:rPr>
          <w:rFonts w:ascii="Times New Roman" w:hAnsi="Times New Roman" w:cs="Times New Roman"/>
        </w:rPr>
        <w:t xml:space="preserve">responses with monthly rates from </w:t>
      </w:r>
      <w:r w:rsidR="00F0723E">
        <w:rPr>
          <w:rFonts w:ascii="Times New Roman" w:hAnsi="Times New Roman" w:cs="Times New Roman"/>
        </w:rPr>
        <w:t>54</w:t>
      </w:r>
      <w:r w:rsidR="00EC33DC" w:rsidRPr="00AC2BC7">
        <w:rPr>
          <w:rFonts w:ascii="Times New Roman" w:hAnsi="Times New Roman" w:cs="Times New Roman"/>
        </w:rPr>
        <w:t xml:space="preserve"> </w:t>
      </w:r>
      <w:r w:rsidRPr="00AC2BC7">
        <w:rPr>
          <w:rFonts w:ascii="Times New Roman" w:hAnsi="Times New Roman" w:cs="Times New Roman"/>
        </w:rPr>
        <w:t xml:space="preserve">different </w:t>
      </w:r>
      <w:r w:rsidR="00D03C70" w:rsidRPr="00AC2BC7">
        <w:rPr>
          <w:rFonts w:ascii="Times New Roman" w:hAnsi="Times New Roman" w:cs="Times New Roman"/>
        </w:rPr>
        <w:t>providers</w:t>
      </w:r>
      <w:r w:rsidRPr="00AC2BC7">
        <w:rPr>
          <w:rFonts w:ascii="Times New Roman" w:hAnsi="Times New Roman" w:cs="Times New Roman"/>
        </w:rPr>
        <w:t xml:space="preserve"> offering fixed voice service in </w:t>
      </w:r>
      <w:r w:rsidR="00F0723E">
        <w:rPr>
          <w:rFonts w:ascii="Times New Roman" w:hAnsi="Times New Roman" w:cs="Times New Roman"/>
        </w:rPr>
        <w:t>422</w:t>
      </w:r>
      <w:r w:rsidR="00EC33DC" w:rsidRPr="00AC2BC7">
        <w:rPr>
          <w:rFonts w:ascii="Times New Roman" w:hAnsi="Times New Roman" w:cs="Times New Roman"/>
        </w:rPr>
        <w:t xml:space="preserve"> </w:t>
      </w:r>
      <w:r w:rsidRPr="00AC2BC7">
        <w:rPr>
          <w:rFonts w:ascii="Times New Roman" w:hAnsi="Times New Roman" w:cs="Times New Roman"/>
        </w:rPr>
        <w:t xml:space="preserve">different census tracts. </w:t>
      </w:r>
      <w:r w:rsidR="00776AA0" w:rsidRPr="00AC2BC7">
        <w:rPr>
          <w:rFonts w:ascii="Times New Roman" w:hAnsi="Times New Roman" w:cs="Times New Roman"/>
        </w:rPr>
        <w:t>The Bureau</w:t>
      </w:r>
      <w:r w:rsidRPr="00AC2BC7">
        <w:rPr>
          <w:rFonts w:ascii="Times New Roman" w:hAnsi="Times New Roman" w:cs="Times New Roman"/>
        </w:rPr>
        <w:t xml:space="preserve"> </w:t>
      </w:r>
      <w:r w:rsidR="00185756" w:rsidRPr="00AC2BC7">
        <w:rPr>
          <w:rFonts w:ascii="Times New Roman" w:hAnsi="Times New Roman" w:cs="Times New Roman"/>
        </w:rPr>
        <w:t>used</w:t>
      </w:r>
      <w:r w:rsidRPr="00AC2BC7">
        <w:rPr>
          <w:rFonts w:ascii="Times New Roman" w:hAnsi="Times New Roman" w:cs="Times New Roman"/>
        </w:rPr>
        <w:t xml:space="preserve"> responses from</w:t>
      </w:r>
      <w:r w:rsidR="00CD2ECD" w:rsidRPr="00AC2BC7">
        <w:rPr>
          <w:rFonts w:ascii="Times New Roman" w:hAnsi="Times New Roman" w:cs="Times New Roman"/>
        </w:rPr>
        <w:t xml:space="preserve"> incumbent local exchange carriers</w:t>
      </w:r>
      <w:r w:rsidRPr="00AC2BC7">
        <w:rPr>
          <w:rFonts w:ascii="Times New Roman" w:hAnsi="Times New Roman" w:cs="Times New Roman"/>
        </w:rPr>
        <w:t xml:space="preserve"> </w:t>
      </w:r>
      <w:r w:rsidR="00CD2ECD" w:rsidRPr="00AC2BC7">
        <w:rPr>
          <w:rFonts w:ascii="Times New Roman" w:hAnsi="Times New Roman" w:cs="Times New Roman"/>
        </w:rPr>
        <w:t>(</w:t>
      </w:r>
      <w:r w:rsidRPr="00AC2BC7">
        <w:rPr>
          <w:rFonts w:ascii="Times New Roman" w:hAnsi="Times New Roman" w:cs="Times New Roman"/>
        </w:rPr>
        <w:t>ILECs</w:t>
      </w:r>
      <w:r w:rsidR="00CD2ECD" w:rsidRPr="00AC2BC7">
        <w:rPr>
          <w:rFonts w:ascii="Times New Roman" w:hAnsi="Times New Roman" w:cs="Times New Roman"/>
        </w:rPr>
        <w:t>)</w:t>
      </w:r>
      <w:r w:rsidRPr="00AC2BC7">
        <w:rPr>
          <w:rFonts w:ascii="Times New Roman" w:hAnsi="Times New Roman" w:cs="Times New Roman"/>
        </w:rPr>
        <w:t xml:space="preserve"> (</w:t>
      </w:r>
      <w:r w:rsidR="00F0723E">
        <w:rPr>
          <w:rFonts w:ascii="Times New Roman" w:hAnsi="Times New Roman" w:cs="Times New Roman"/>
        </w:rPr>
        <w:t>207</w:t>
      </w:r>
      <w:r w:rsidR="00EC33DC" w:rsidRPr="00AC2BC7">
        <w:rPr>
          <w:rFonts w:ascii="Times New Roman" w:hAnsi="Times New Roman" w:cs="Times New Roman"/>
        </w:rPr>
        <w:t xml:space="preserve"> </w:t>
      </w:r>
      <w:r w:rsidRPr="00AC2BC7">
        <w:rPr>
          <w:rFonts w:ascii="Times New Roman" w:hAnsi="Times New Roman" w:cs="Times New Roman"/>
        </w:rPr>
        <w:t xml:space="preserve">responses from </w:t>
      </w:r>
      <w:r w:rsidR="00F0723E">
        <w:rPr>
          <w:rFonts w:ascii="Times New Roman" w:hAnsi="Times New Roman" w:cs="Times New Roman"/>
        </w:rPr>
        <w:t>24</w:t>
      </w:r>
      <w:r w:rsidR="00EC33DC" w:rsidRPr="00AC2BC7">
        <w:rPr>
          <w:rFonts w:ascii="Times New Roman" w:hAnsi="Times New Roman" w:cs="Times New Roman"/>
        </w:rPr>
        <w:t xml:space="preserve"> </w:t>
      </w:r>
      <w:r w:rsidRPr="00AC2BC7">
        <w:rPr>
          <w:rFonts w:ascii="Times New Roman" w:hAnsi="Times New Roman" w:cs="Times New Roman"/>
        </w:rPr>
        <w:t xml:space="preserve">ILECs in </w:t>
      </w:r>
      <w:r w:rsidR="00F0723E">
        <w:rPr>
          <w:rFonts w:ascii="Times New Roman" w:hAnsi="Times New Roman" w:cs="Times New Roman"/>
        </w:rPr>
        <w:t>207</w:t>
      </w:r>
      <w:r w:rsidR="00EC33DC" w:rsidRPr="00AC2BC7">
        <w:rPr>
          <w:rFonts w:ascii="Times New Roman" w:hAnsi="Times New Roman" w:cs="Times New Roman"/>
        </w:rPr>
        <w:t xml:space="preserve"> </w:t>
      </w:r>
      <w:r w:rsidRPr="00AC2BC7">
        <w:rPr>
          <w:rFonts w:ascii="Times New Roman" w:hAnsi="Times New Roman" w:cs="Times New Roman"/>
        </w:rPr>
        <w:t xml:space="preserve">census tracts) to </w:t>
      </w:r>
      <w:r w:rsidR="00CD2ECD" w:rsidRPr="00AC2BC7">
        <w:rPr>
          <w:rFonts w:ascii="Times New Roman" w:hAnsi="Times New Roman" w:cs="Times New Roman"/>
        </w:rPr>
        <w:t>determine the</w:t>
      </w:r>
      <w:r w:rsidRPr="00AC2BC7">
        <w:rPr>
          <w:rFonts w:ascii="Times New Roman" w:hAnsi="Times New Roman" w:cs="Times New Roman"/>
        </w:rPr>
        <w:t xml:space="preserve"> </w:t>
      </w:r>
      <w:r w:rsidR="001228F1" w:rsidRPr="00AC2BC7">
        <w:rPr>
          <w:rFonts w:ascii="Times New Roman" w:hAnsi="Times New Roman" w:cs="Times New Roman"/>
        </w:rPr>
        <w:t>rate floor</w:t>
      </w:r>
      <w:r w:rsidRPr="00AC2BC7">
        <w:rPr>
          <w:rFonts w:ascii="Times New Roman" w:hAnsi="Times New Roman" w:cs="Times New Roman"/>
        </w:rPr>
        <w:t xml:space="preserve"> for fixed voice service, </w:t>
      </w:r>
      <w:r w:rsidR="00F57EFA" w:rsidRPr="00AC2BC7">
        <w:rPr>
          <w:rFonts w:ascii="Times New Roman" w:hAnsi="Times New Roman" w:cs="Times New Roman"/>
        </w:rPr>
        <w:t>consistent with the methodology previously adopted by the Bureau</w:t>
      </w:r>
      <w:r w:rsidRPr="00AC2BC7">
        <w:rPr>
          <w:rFonts w:ascii="Times New Roman" w:hAnsi="Times New Roman" w:cs="Times New Roman"/>
        </w:rPr>
        <w:t>.</w:t>
      </w:r>
      <w:r w:rsidR="00776AA0" w:rsidRPr="00AC2BC7">
        <w:rPr>
          <w:rStyle w:val="FootnoteReference"/>
          <w:rFonts w:ascii="Times New Roman" w:hAnsi="Times New Roman" w:cs="Times New Roman"/>
        </w:rPr>
        <w:footnoteReference w:id="4"/>
      </w:r>
      <w:r w:rsidRPr="00AC2BC7">
        <w:rPr>
          <w:rFonts w:ascii="Times New Roman" w:hAnsi="Times New Roman" w:cs="Times New Roman"/>
        </w:rPr>
        <w:t xml:space="preserve"> This analysis estimated an urban average monthly rate of $</w:t>
      </w:r>
      <w:r w:rsidR="00F0723E">
        <w:rPr>
          <w:rFonts w:ascii="Times New Roman" w:hAnsi="Times New Roman" w:cs="Times New Roman"/>
        </w:rPr>
        <w:t>25.50</w:t>
      </w:r>
      <w:r w:rsidR="002036AA" w:rsidRPr="00AC2BC7">
        <w:rPr>
          <w:rFonts w:ascii="Times New Roman" w:hAnsi="Times New Roman" w:cs="Times New Roman"/>
        </w:rPr>
        <w:t>,</w:t>
      </w:r>
      <w:r w:rsidRPr="00AC2BC7">
        <w:rPr>
          <w:rFonts w:ascii="Times New Roman" w:hAnsi="Times New Roman" w:cs="Times New Roman"/>
        </w:rPr>
        <w:t xml:space="preserve"> with a 95% confidence interval </w:t>
      </w:r>
      <w:r w:rsidRPr="00A418A6">
        <w:rPr>
          <w:rFonts w:ascii="Times New Roman" w:hAnsi="Times New Roman" w:cs="Times New Roman"/>
          <w:color w:val="000000" w:themeColor="text1"/>
        </w:rPr>
        <w:t>of ($</w:t>
      </w:r>
      <w:r w:rsidR="00A418A6" w:rsidRPr="00A418A6">
        <w:rPr>
          <w:rFonts w:ascii="Times New Roman" w:hAnsi="Times New Roman" w:cs="Times New Roman"/>
          <w:color w:val="000000" w:themeColor="text1"/>
        </w:rPr>
        <w:t>24.58</w:t>
      </w:r>
      <w:r w:rsidR="00CC4B8D" w:rsidRPr="00A418A6">
        <w:rPr>
          <w:rFonts w:ascii="Times New Roman" w:hAnsi="Times New Roman" w:cs="Times New Roman"/>
          <w:color w:val="000000" w:themeColor="text1"/>
        </w:rPr>
        <w:t>, $</w:t>
      </w:r>
      <w:r w:rsidR="00A418A6" w:rsidRPr="00A418A6">
        <w:rPr>
          <w:rFonts w:ascii="Times New Roman" w:hAnsi="Times New Roman" w:cs="Times New Roman"/>
          <w:color w:val="000000" w:themeColor="text1"/>
        </w:rPr>
        <w:t>26.43</w:t>
      </w:r>
      <w:r w:rsidRPr="00A418A6">
        <w:rPr>
          <w:rFonts w:ascii="Times New Roman" w:hAnsi="Times New Roman" w:cs="Times New Roman"/>
          <w:color w:val="000000" w:themeColor="text1"/>
        </w:rPr>
        <w:t xml:space="preserve">) </w:t>
      </w:r>
      <w:r w:rsidRPr="00AC2BC7">
        <w:rPr>
          <w:rFonts w:ascii="Times New Roman" w:hAnsi="Times New Roman" w:cs="Times New Roman"/>
        </w:rPr>
        <w:t xml:space="preserve">for </w:t>
      </w:r>
      <w:r w:rsidR="00DA5EAD">
        <w:rPr>
          <w:rFonts w:ascii="Times New Roman" w:hAnsi="Times New Roman" w:cs="Times New Roman"/>
        </w:rPr>
        <w:t>u</w:t>
      </w:r>
      <w:r w:rsidR="00DA5EAD" w:rsidRPr="00AC2BC7">
        <w:rPr>
          <w:rFonts w:ascii="Times New Roman" w:hAnsi="Times New Roman" w:cs="Times New Roman"/>
        </w:rPr>
        <w:t xml:space="preserve">nlimited </w:t>
      </w:r>
      <w:r w:rsidRPr="00AC2BC7">
        <w:rPr>
          <w:rFonts w:ascii="Times New Roman" w:hAnsi="Times New Roman" w:cs="Times New Roman"/>
        </w:rPr>
        <w:t xml:space="preserve">or </w:t>
      </w:r>
      <w:r w:rsidR="00DA5EAD">
        <w:rPr>
          <w:rFonts w:ascii="Times New Roman" w:hAnsi="Times New Roman" w:cs="Times New Roman"/>
        </w:rPr>
        <w:t>f</w:t>
      </w:r>
      <w:r w:rsidR="00DA5EAD" w:rsidRPr="00AC2BC7">
        <w:rPr>
          <w:rFonts w:ascii="Times New Roman" w:hAnsi="Times New Roman" w:cs="Times New Roman"/>
        </w:rPr>
        <w:t>lat</w:t>
      </w:r>
      <w:r w:rsidRPr="00AC2BC7">
        <w:rPr>
          <w:rFonts w:ascii="Times New Roman" w:hAnsi="Times New Roman" w:cs="Times New Roman"/>
        </w:rPr>
        <w:t>-</w:t>
      </w:r>
      <w:r w:rsidR="00DA5EAD">
        <w:rPr>
          <w:rFonts w:ascii="Times New Roman" w:hAnsi="Times New Roman" w:cs="Times New Roman"/>
        </w:rPr>
        <w:t>r</w:t>
      </w:r>
      <w:r w:rsidR="00DA5EAD" w:rsidRPr="00AC2BC7">
        <w:rPr>
          <w:rFonts w:ascii="Times New Roman" w:hAnsi="Times New Roman" w:cs="Times New Roman"/>
        </w:rPr>
        <w:t xml:space="preserve">ate </w:t>
      </w:r>
      <w:r w:rsidR="00DA5EAD">
        <w:rPr>
          <w:rFonts w:ascii="Times New Roman" w:hAnsi="Times New Roman" w:cs="Times New Roman"/>
        </w:rPr>
        <w:t>l</w:t>
      </w:r>
      <w:r w:rsidR="00DA5EAD" w:rsidRPr="00AC2BC7">
        <w:rPr>
          <w:rFonts w:ascii="Times New Roman" w:hAnsi="Times New Roman" w:cs="Times New Roman"/>
        </w:rPr>
        <w:t xml:space="preserve">ocal </w:t>
      </w:r>
      <w:r w:rsidR="00DA5EAD">
        <w:rPr>
          <w:rFonts w:ascii="Times New Roman" w:hAnsi="Times New Roman" w:cs="Times New Roman"/>
        </w:rPr>
        <w:t>s</w:t>
      </w:r>
      <w:r w:rsidR="00DA5EAD" w:rsidRPr="00AC2BC7">
        <w:rPr>
          <w:rFonts w:ascii="Times New Roman" w:hAnsi="Times New Roman" w:cs="Times New Roman"/>
        </w:rPr>
        <w:t>ervice</w:t>
      </w:r>
      <w:r w:rsidRPr="00AC2BC7">
        <w:rPr>
          <w:rFonts w:ascii="Times New Roman" w:hAnsi="Times New Roman" w:cs="Times New Roman"/>
        </w:rPr>
        <w:t>.</w:t>
      </w:r>
      <w:r w:rsidR="00503F26" w:rsidRPr="00AC2BC7">
        <w:rPr>
          <w:rFonts w:ascii="Times New Roman" w:hAnsi="Times New Roman" w:cs="Times New Roman"/>
        </w:rPr>
        <w:t xml:space="preserve"> </w:t>
      </w:r>
      <w:r w:rsidR="00D03C70" w:rsidRPr="00AC2BC7">
        <w:rPr>
          <w:rFonts w:ascii="Times New Roman" w:hAnsi="Times New Roman" w:cs="Times New Roman"/>
        </w:rPr>
        <w:t>To determine the reasonabl</w:t>
      </w:r>
      <w:r w:rsidR="00852E42" w:rsidRPr="00AC2BC7">
        <w:rPr>
          <w:rFonts w:ascii="Times New Roman" w:hAnsi="Times New Roman" w:cs="Times New Roman"/>
        </w:rPr>
        <w:t>e</w:t>
      </w:r>
      <w:r w:rsidR="00D03C70" w:rsidRPr="00AC2BC7">
        <w:rPr>
          <w:rFonts w:ascii="Times New Roman" w:hAnsi="Times New Roman" w:cs="Times New Roman"/>
        </w:rPr>
        <w:t xml:space="preserve"> comparability benchmark for voice service, the </w:t>
      </w:r>
      <w:r w:rsidR="00776AA0" w:rsidRPr="00AC2BC7">
        <w:rPr>
          <w:rFonts w:ascii="Times New Roman" w:hAnsi="Times New Roman" w:cs="Times New Roman"/>
        </w:rPr>
        <w:t xml:space="preserve">Bureau </w:t>
      </w:r>
      <w:r w:rsidR="00D03C70" w:rsidRPr="00AC2BC7">
        <w:rPr>
          <w:rFonts w:ascii="Times New Roman" w:hAnsi="Times New Roman" w:cs="Times New Roman"/>
        </w:rPr>
        <w:t>used all responses (both ILEC and non-ILEC)</w:t>
      </w:r>
      <w:r w:rsidR="00F57EFA" w:rsidRPr="00AC2BC7">
        <w:rPr>
          <w:rFonts w:ascii="Times New Roman" w:hAnsi="Times New Roman" w:cs="Times New Roman"/>
        </w:rPr>
        <w:t>, consistent with the methodology previously adopted by the Bureau.</w:t>
      </w:r>
      <w:r w:rsidR="00F57EFA" w:rsidRPr="00AC2BC7">
        <w:rPr>
          <w:rStyle w:val="FootnoteReference"/>
          <w:rFonts w:ascii="Times New Roman" w:hAnsi="Times New Roman" w:cs="Times New Roman"/>
        </w:rPr>
        <w:footnoteReference w:id="5"/>
      </w:r>
      <w:r w:rsidR="00503F26" w:rsidRPr="00AC2BC7">
        <w:rPr>
          <w:rFonts w:ascii="Times New Roman" w:hAnsi="Times New Roman" w:cs="Times New Roman"/>
        </w:rPr>
        <w:t xml:space="preserve"> </w:t>
      </w:r>
      <w:r w:rsidR="00D4766A" w:rsidRPr="00AC2BC7">
        <w:rPr>
          <w:rFonts w:ascii="Times New Roman" w:hAnsi="Times New Roman" w:cs="Times New Roman"/>
        </w:rPr>
        <w:t>T</w:t>
      </w:r>
      <w:r w:rsidR="00F575E1" w:rsidRPr="00AC2BC7">
        <w:rPr>
          <w:rFonts w:ascii="Times New Roman" w:hAnsi="Times New Roman" w:cs="Times New Roman"/>
        </w:rPr>
        <w:t xml:space="preserve">he reasonable comparability benchmark is </w:t>
      </w:r>
      <w:r w:rsidR="007068BC" w:rsidRPr="00AC2BC7">
        <w:rPr>
          <w:rFonts w:ascii="Times New Roman" w:hAnsi="Times New Roman" w:cs="Times New Roman"/>
        </w:rPr>
        <w:t>$</w:t>
      </w:r>
      <w:r w:rsidR="00F0723E">
        <w:rPr>
          <w:rFonts w:ascii="Times New Roman" w:hAnsi="Times New Roman" w:cs="Times New Roman"/>
        </w:rPr>
        <w:t>45.38</w:t>
      </w:r>
      <w:r w:rsidR="00F575E1" w:rsidRPr="00AC2BC7">
        <w:rPr>
          <w:rFonts w:ascii="Times New Roman" w:hAnsi="Times New Roman" w:cs="Times New Roman"/>
        </w:rPr>
        <w:t xml:space="preserve">, two standard deviations above the urban average (including </w:t>
      </w:r>
      <w:r w:rsidR="00776AA0" w:rsidRPr="00AC2BC7">
        <w:rPr>
          <w:rFonts w:ascii="Times New Roman" w:hAnsi="Times New Roman" w:cs="Times New Roman"/>
        </w:rPr>
        <w:t>subscriber line charges (</w:t>
      </w:r>
      <w:r w:rsidR="00F575E1" w:rsidRPr="00AC2BC7">
        <w:rPr>
          <w:rFonts w:ascii="Times New Roman" w:hAnsi="Times New Roman" w:cs="Times New Roman"/>
        </w:rPr>
        <w:t>SLCs</w:t>
      </w:r>
      <w:r w:rsidR="00776AA0" w:rsidRPr="00AC2BC7">
        <w:rPr>
          <w:rFonts w:ascii="Times New Roman" w:hAnsi="Times New Roman" w:cs="Times New Roman"/>
        </w:rPr>
        <w:t>)</w:t>
      </w:r>
      <w:r w:rsidR="00F575E1" w:rsidRPr="00AC2BC7">
        <w:rPr>
          <w:rFonts w:ascii="Times New Roman" w:hAnsi="Times New Roman" w:cs="Times New Roman"/>
        </w:rPr>
        <w:t xml:space="preserve">) for all </w:t>
      </w:r>
      <w:r w:rsidR="00C97E26" w:rsidRPr="00AC2BC7">
        <w:rPr>
          <w:rFonts w:ascii="Times New Roman" w:hAnsi="Times New Roman" w:cs="Times New Roman"/>
        </w:rPr>
        <w:t>local flat-rate providers</w:t>
      </w:r>
      <w:r w:rsidR="00F575E1" w:rsidRPr="00AC2BC7">
        <w:rPr>
          <w:rFonts w:ascii="Times New Roman" w:hAnsi="Times New Roman" w:cs="Times New Roman"/>
        </w:rPr>
        <w:t>.</w:t>
      </w:r>
    </w:p>
    <w:p w14:paraId="72BD54B3" w14:textId="49AEA9B0" w:rsidR="00F0723E" w:rsidRDefault="00F0723E" w:rsidP="00121172">
      <w:pPr>
        <w:spacing w:line="240" w:lineRule="auto"/>
        <w:rPr>
          <w:rFonts w:ascii="Times New Roman" w:hAnsi="Times New Roman" w:cs="Times New Roman"/>
        </w:rPr>
      </w:pPr>
      <w:r>
        <w:rPr>
          <w:rFonts w:ascii="Times New Roman" w:hAnsi="Times New Roman" w:cs="Times New Roman"/>
        </w:rPr>
        <w:t xml:space="preserve">The URS </w:t>
      </w:r>
      <w:r w:rsidRPr="00AC2BC7">
        <w:rPr>
          <w:rFonts w:ascii="Times New Roman" w:hAnsi="Times New Roman" w:cs="Times New Roman"/>
        </w:rPr>
        <w:t>sampling and estimation methodology used to produce national estimates</w:t>
      </w:r>
      <w:r>
        <w:rPr>
          <w:rFonts w:ascii="Times New Roman" w:hAnsi="Times New Roman" w:cs="Times New Roman"/>
        </w:rPr>
        <w:t xml:space="preserve"> of rates for fixed voice services remains the same as implemented </w:t>
      </w:r>
      <w:r w:rsidR="00DA5EAD">
        <w:rPr>
          <w:rFonts w:ascii="Times New Roman" w:hAnsi="Times New Roman" w:cs="Times New Roman"/>
        </w:rPr>
        <w:t>last</w:t>
      </w:r>
      <w:r>
        <w:rPr>
          <w:rFonts w:ascii="Times New Roman" w:hAnsi="Times New Roman" w:cs="Times New Roman"/>
        </w:rPr>
        <w:t xml:space="preserve"> year.</w:t>
      </w:r>
    </w:p>
    <w:p w14:paraId="7B1C51F5" w14:textId="77777777" w:rsidR="00F0723E" w:rsidRDefault="00F0723E" w:rsidP="00121172">
      <w:pPr>
        <w:spacing w:line="240" w:lineRule="auto"/>
        <w:rPr>
          <w:rFonts w:ascii="Times New Roman" w:hAnsi="Times New Roman" w:cs="Times New Roman"/>
        </w:rPr>
      </w:pPr>
    </w:p>
    <w:p w14:paraId="668B1A42" w14:textId="57AC3BCA" w:rsidR="00224E0D" w:rsidRPr="00AC2BC7" w:rsidRDefault="00BA7FC9" w:rsidP="00224E0D">
      <w:pPr>
        <w:rPr>
          <w:rFonts w:ascii="Times New Roman" w:hAnsi="Times New Roman" w:cs="Times New Roman"/>
          <w:b/>
        </w:rPr>
      </w:pPr>
      <w:r w:rsidRPr="00AC2BC7">
        <w:rPr>
          <w:rFonts w:ascii="Times New Roman" w:hAnsi="Times New Roman" w:cs="Times New Roman"/>
          <w:b/>
        </w:rPr>
        <w:t xml:space="preserve">Sample </w:t>
      </w:r>
      <w:r w:rsidR="00DB1011" w:rsidRPr="00AC2BC7">
        <w:rPr>
          <w:rFonts w:ascii="Times New Roman" w:hAnsi="Times New Roman" w:cs="Times New Roman"/>
          <w:b/>
        </w:rPr>
        <w:t>D</w:t>
      </w:r>
      <w:r w:rsidR="00843BAC" w:rsidRPr="00AC2BC7">
        <w:rPr>
          <w:rFonts w:ascii="Times New Roman" w:hAnsi="Times New Roman" w:cs="Times New Roman"/>
          <w:b/>
        </w:rPr>
        <w:t xml:space="preserve">esign and </w:t>
      </w:r>
      <w:r w:rsidRPr="00AC2BC7">
        <w:rPr>
          <w:rFonts w:ascii="Times New Roman" w:hAnsi="Times New Roman" w:cs="Times New Roman"/>
          <w:b/>
        </w:rPr>
        <w:t>Selection</w:t>
      </w:r>
    </w:p>
    <w:p w14:paraId="017B31D8" w14:textId="0A26AFC3" w:rsidR="00EC33DC" w:rsidRPr="00AC2BC7" w:rsidRDefault="002B484D" w:rsidP="00121172">
      <w:pPr>
        <w:spacing w:line="240" w:lineRule="auto"/>
        <w:rPr>
          <w:rFonts w:ascii="Times New Roman" w:hAnsi="Times New Roman" w:cs="Times New Roman"/>
        </w:rPr>
      </w:pPr>
      <w:r w:rsidRPr="00AC2BC7">
        <w:rPr>
          <w:rFonts w:ascii="Times New Roman" w:hAnsi="Times New Roman" w:cs="Times New Roman"/>
        </w:rPr>
        <w:t>As with past surveys, t</w:t>
      </w:r>
      <w:r w:rsidR="00EC33DC" w:rsidRPr="00AC2BC7">
        <w:rPr>
          <w:rFonts w:ascii="Times New Roman" w:hAnsi="Times New Roman" w:cs="Times New Roman"/>
        </w:rPr>
        <w:t xml:space="preserve">he sampling unit for the </w:t>
      </w:r>
      <w:r w:rsidR="00F0723E">
        <w:rPr>
          <w:rFonts w:ascii="Times New Roman" w:hAnsi="Times New Roman" w:cs="Times New Roman"/>
        </w:rPr>
        <w:t>2018</w:t>
      </w:r>
      <w:r w:rsidR="00EC33DC" w:rsidRPr="00AC2BC7">
        <w:rPr>
          <w:rFonts w:ascii="Times New Roman" w:hAnsi="Times New Roman" w:cs="Times New Roman"/>
        </w:rPr>
        <w:t xml:space="preserve"> fixed voice survey is a (service provider, census tract) pair.</w:t>
      </w:r>
      <w:r w:rsidR="00503F26" w:rsidRPr="00AC2BC7">
        <w:rPr>
          <w:rFonts w:ascii="Times New Roman" w:hAnsi="Times New Roman" w:cs="Times New Roman"/>
        </w:rPr>
        <w:t xml:space="preserve"> </w:t>
      </w:r>
      <w:r w:rsidR="00EC33DC" w:rsidRPr="00AC2BC7">
        <w:rPr>
          <w:rFonts w:ascii="Times New Roman" w:hAnsi="Times New Roman" w:cs="Times New Roman"/>
        </w:rPr>
        <w:t>The frame</w:t>
      </w:r>
      <w:r w:rsidR="00625FAC" w:rsidRPr="00AC2BC7">
        <w:rPr>
          <w:rFonts w:ascii="Times New Roman" w:hAnsi="Times New Roman" w:cs="Times New Roman"/>
        </w:rPr>
        <w:t xml:space="preserve"> (</w:t>
      </w:r>
      <w:r w:rsidR="00625FAC" w:rsidRPr="00AC2BC7">
        <w:rPr>
          <w:rStyle w:val="tgc"/>
          <w:rFonts w:ascii="Times New Roman" w:hAnsi="Times New Roman" w:cs="Times New Roman"/>
        </w:rPr>
        <w:t xml:space="preserve">source data from which we selected our sample) </w:t>
      </w:r>
      <w:r w:rsidR="00EC33DC" w:rsidRPr="00AC2BC7">
        <w:rPr>
          <w:rFonts w:ascii="Times New Roman" w:hAnsi="Times New Roman" w:cs="Times New Roman"/>
        </w:rPr>
        <w:t>for the survey is the set of sampling units encompassing providers offering fixed voice service to residential customers in urban census tracts.</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The frame consists of </w:t>
      </w:r>
      <w:r w:rsidR="009576E0">
        <w:rPr>
          <w:rFonts w:ascii="Times New Roman" w:eastAsia="Times New Roman" w:hAnsi="Times New Roman" w:cs="Times New Roman"/>
          <w:color w:val="000000"/>
        </w:rPr>
        <w:t>160,885</w:t>
      </w:r>
      <w:r w:rsidR="0025661D" w:rsidRPr="00AC2BC7">
        <w:rPr>
          <w:rFonts w:ascii="Times New Roman" w:eastAsia="Times New Roman" w:hAnsi="Times New Roman" w:cs="Times New Roman"/>
          <w:color w:val="000000"/>
        </w:rPr>
        <w:t xml:space="preserve"> </w:t>
      </w:r>
      <w:r w:rsidR="00EC33DC" w:rsidRPr="00AC2BC7">
        <w:rPr>
          <w:rFonts w:ascii="Times New Roman" w:hAnsi="Times New Roman" w:cs="Times New Roman"/>
        </w:rPr>
        <w:t xml:space="preserve">sampling units </w:t>
      </w:r>
      <w:r w:rsidR="00D4766A" w:rsidRPr="00AC2BC7">
        <w:rPr>
          <w:rFonts w:ascii="Times New Roman" w:hAnsi="Times New Roman" w:cs="Times New Roman"/>
        </w:rPr>
        <w:t xml:space="preserve">from </w:t>
      </w:r>
      <w:r w:rsidR="009576E0">
        <w:rPr>
          <w:rFonts w:ascii="Times New Roman" w:eastAsia="Times New Roman" w:hAnsi="Times New Roman" w:cs="Times New Roman"/>
          <w:color w:val="000000"/>
        </w:rPr>
        <w:t>699</w:t>
      </w:r>
      <w:r w:rsidR="00EC33DC" w:rsidRPr="00AC2BC7">
        <w:rPr>
          <w:rFonts w:ascii="Times New Roman" w:hAnsi="Times New Roman" w:cs="Times New Roman"/>
        </w:rPr>
        <w:t xml:space="preserve"> service providers and </w:t>
      </w:r>
      <w:r w:rsidR="0025661D" w:rsidRPr="00AC2BC7">
        <w:rPr>
          <w:rFonts w:ascii="Times New Roman" w:eastAsia="Times New Roman" w:hAnsi="Times New Roman" w:cs="Times New Roman"/>
          <w:color w:val="000000"/>
        </w:rPr>
        <w:t xml:space="preserve">58,149 </w:t>
      </w:r>
      <w:r w:rsidR="00EC33DC" w:rsidRPr="00AC2BC7">
        <w:rPr>
          <w:rFonts w:ascii="Times New Roman" w:hAnsi="Times New Roman" w:cs="Times New Roman"/>
        </w:rPr>
        <w:t>census tracts.</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The data used to construct the frame come from the </w:t>
      </w:r>
      <w:r w:rsidR="004D638E" w:rsidRPr="00AC2BC7">
        <w:rPr>
          <w:rFonts w:ascii="Times New Roman" w:hAnsi="Times New Roman" w:cs="Times New Roman"/>
        </w:rPr>
        <w:t>June</w:t>
      </w:r>
      <w:r w:rsidR="0025661D" w:rsidRPr="00AC2BC7">
        <w:rPr>
          <w:rFonts w:ascii="Times New Roman" w:hAnsi="Times New Roman" w:cs="Times New Roman"/>
        </w:rPr>
        <w:t xml:space="preserve"> 201</w:t>
      </w:r>
      <w:r w:rsidR="009576E0">
        <w:rPr>
          <w:rFonts w:ascii="Times New Roman" w:hAnsi="Times New Roman" w:cs="Times New Roman"/>
        </w:rPr>
        <w:t>6</w:t>
      </w:r>
      <w:r w:rsidR="00EC33DC" w:rsidRPr="00AC2BC7">
        <w:rPr>
          <w:rFonts w:ascii="Times New Roman" w:hAnsi="Times New Roman" w:cs="Times New Roman"/>
        </w:rPr>
        <w:t xml:space="preserve"> Form 477 and ILEC study area boundary data collections.</w:t>
      </w:r>
    </w:p>
    <w:p w14:paraId="6E33D31A" w14:textId="77777777" w:rsidR="00EC33DC" w:rsidRPr="00AC2BC7" w:rsidRDefault="00EC33DC" w:rsidP="00121172">
      <w:pPr>
        <w:spacing w:line="240" w:lineRule="auto"/>
        <w:rPr>
          <w:rFonts w:ascii="Times New Roman" w:hAnsi="Times New Roman" w:cs="Times New Roman"/>
        </w:rPr>
      </w:pPr>
      <w:r w:rsidRPr="00AC2BC7">
        <w:rPr>
          <w:rFonts w:ascii="Times New Roman" w:hAnsi="Times New Roman" w:cs="Times New Roman"/>
        </w:rPr>
        <w:lastRenderedPageBreak/>
        <w:t>The frame was divided into two strata:</w:t>
      </w:r>
    </w:p>
    <w:p w14:paraId="55369005" w14:textId="4935D0BB" w:rsidR="00EC33DC" w:rsidRPr="00AC2BC7" w:rsidRDefault="00EC33DC" w:rsidP="00121172">
      <w:pPr>
        <w:pStyle w:val="ListParagraph"/>
        <w:numPr>
          <w:ilvl w:val="0"/>
          <w:numId w:val="13"/>
        </w:numPr>
        <w:spacing w:line="240" w:lineRule="auto"/>
        <w:rPr>
          <w:rFonts w:ascii="Times New Roman" w:hAnsi="Times New Roman" w:cs="Times New Roman"/>
        </w:rPr>
      </w:pPr>
      <w:r w:rsidRPr="00AC2BC7">
        <w:rPr>
          <w:rFonts w:ascii="Times New Roman" w:hAnsi="Times New Roman" w:cs="Times New Roman"/>
        </w:rPr>
        <w:t>ILEC – Sampling units in which the service provider was identified as an ILEC in the urban census tract.</w:t>
      </w:r>
      <w:r w:rsidR="00503F26" w:rsidRPr="00AC2BC7">
        <w:rPr>
          <w:rFonts w:ascii="Times New Roman" w:hAnsi="Times New Roman" w:cs="Times New Roman"/>
        </w:rPr>
        <w:t xml:space="preserve"> </w:t>
      </w:r>
      <w:r w:rsidRPr="00AC2BC7">
        <w:rPr>
          <w:rFonts w:ascii="Times New Roman" w:hAnsi="Times New Roman" w:cs="Times New Roman"/>
        </w:rPr>
        <w:t xml:space="preserve">This stratum consisted of </w:t>
      </w:r>
      <w:r w:rsidR="009576E0">
        <w:rPr>
          <w:rFonts w:ascii="Times New Roman" w:eastAsia="Times New Roman" w:hAnsi="Times New Roman" w:cs="Times New Roman"/>
          <w:color w:val="000000"/>
        </w:rPr>
        <w:t>63,912</w:t>
      </w:r>
      <w:r w:rsidR="00CF0685" w:rsidRPr="00AC2BC7">
        <w:rPr>
          <w:rFonts w:ascii="Times New Roman" w:eastAsia="Times New Roman" w:hAnsi="Times New Roman" w:cs="Times New Roman"/>
          <w:color w:val="000000"/>
        </w:rPr>
        <w:t xml:space="preserve"> </w:t>
      </w:r>
      <w:r w:rsidRPr="00AC2BC7">
        <w:rPr>
          <w:rFonts w:ascii="Times New Roman" w:hAnsi="Times New Roman" w:cs="Times New Roman"/>
        </w:rPr>
        <w:t xml:space="preserve">sampling units encompassing </w:t>
      </w:r>
      <w:r w:rsidR="009576E0">
        <w:rPr>
          <w:rFonts w:ascii="Times New Roman" w:eastAsia="Times New Roman" w:hAnsi="Times New Roman" w:cs="Times New Roman"/>
          <w:color w:val="000000"/>
        </w:rPr>
        <w:t>424</w:t>
      </w:r>
      <w:r w:rsidRPr="00AC2BC7">
        <w:rPr>
          <w:rFonts w:ascii="Times New Roman" w:hAnsi="Times New Roman" w:cs="Times New Roman"/>
        </w:rPr>
        <w:t xml:space="preserve"> service providers and </w:t>
      </w:r>
      <w:r w:rsidR="009576E0">
        <w:rPr>
          <w:rFonts w:ascii="Times New Roman" w:eastAsia="Times New Roman" w:hAnsi="Times New Roman" w:cs="Times New Roman"/>
          <w:color w:val="000000"/>
        </w:rPr>
        <w:t>58,036</w:t>
      </w:r>
      <w:r w:rsidR="00CF0685" w:rsidRPr="00AC2BC7">
        <w:rPr>
          <w:rFonts w:ascii="Times New Roman" w:eastAsia="Times New Roman" w:hAnsi="Times New Roman" w:cs="Times New Roman"/>
          <w:color w:val="000000"/>
        </w:rPr>
        <w:t xml:space="preserve"> </w:t>
      </w:r>
      <w:r w:rsidRPr="00AC2BC7">
        <w:rPr>
          <w:rFonts w:ascii="Times New Roman" w:hAnsi="Times New Roman" w:cs="Times New Roman"/>
        </w:rPr>
        <w:t>urban census tracts.</w:t>
      </w:r>
      <w:r w:rsidRPr="00AC2BC7">
        <w:rPr>
          <w:rStyle w:val="FootnoteReference"/>
          <w:rFonts w:ascii="Times New Roman" w:hAnsi="Times New Roman" w:cs="Times New Roman"/>
        </w:rPr>
        <w:footnoteReference w:id="6"/>
      </w:r>
    </w:p>
    <w:p w14:paraId="293FF3B3" w14:textId="4CB0A5F9" w:rsidR="00EC33DC" w:rsidRPr="00AC2BC7" w:rsidRDefault="00EC33DC" w:rsidP="00121172">
      <w:pPr>
        <w:pStyle w:val="ListParagraph"/>
        <w:numPr>
          <w:ilvl w:val="0"/>
          <w:numId w:val="13"/>
        </w:numPr>
        <w:spacing w:line="240" w:lineRule="auto"/>
        <w:rPr>
          <w:rFonts w:ascii="Times New Roman" w:hAnsi="Times New Roman" w:cs="Times New Roman"/>
        </w:rPr>
      </w:pPr>
      <w:r w:rsidRPr="00AC2BC7">
        <w:rPr>
          <w:rFonts w:ascii="Times New Roman" w:hAnsi="Times New Roman" w:cs="Times New Roman"/>
        </w:rPr>
        <w:t xml:space="preserve">Non-ILEC – Sampling units in which the service provider was identified as a </w:t>
      </w:r>
      <w:r w:rsidR="00DA5EAD">
        <w:rPr>
          <w:rFonts w:ascii="Times New Roman" w:hAnsi="Times New Roman" w:cs="Times New Roman"/>
        </w:rPr>
        <w:t>n</w:t>
      </w:r>
      <w:r w:rsidR="00DA5EAD" w:rsidRPr="00AC2BC7">
        <w:rPr>
          <w:rFonts w:ascii="Times New Roman" w:hAnsi="Times New Roman" w:cs="Times New Roman"/>
        </w:rPr>
        <w:t>on</w:t>
      </w:r>
      <w:r w:rsidRPr="00AC2BC7">
        <w:rPr>
          <w:rFonts w:ascii="Times New Roman" w:hAnsi="Times New Roman" w:cs="Times New Roman"/>
        </w:rPr>
        <w:t xml:space="preserve">-ILEC in the urban census tract. This stratum consisted of </w:t>
      </w:r>
      <w:r w:rsidR="009576E0">
        <w:rPr>
          <w:rFonts w:ascii="Times New Roman" w:eastAsia="Times New Roman" w:hAnsi="Times New Roman" w:cs="Times New Roman"/>
          <w:color w:val="000000"/>
        </w:rPr>
        <w:t>96,973</w:t>
      </w:r>
      <w:r w:rsidR="00CF0685" w:rsidRPr="00AC2BC7">
        <w:rPr>
          <w:rFonts w:ascii="Times New Roman" w:eastAsia="Times New Roman" w:hAnsi="Times New Roman" w:cs="Times New Roman"/>
          <w:color w:val="000000"/>
        </w:rPr>
        <w:t xml:space="preserve"> </w:t>
      </w:r>
      <w:r w:rsidRPr="00AC2BC7">
        <w:rPr>
          <w:rFonts w:ascii="Times New Roman" w:hAnsi="Times New Roman" w:cs="Times New Roman"/>
        </w:rPr>
        <w:t xml:space="preserve">sampling units encompassing </w:t>
      </w:r>
      <w:r w:rsidR="009576E0">
        <w:rPr>
          <w:rFonts w:ascii="Times New Roman" w:eastAsia="Times New Roman" w:hAnsi="Times New Roman" w:cs="Times New Roman"/>
          <w:color w:val="000000"/>
        </w:rPr>
        <w:t>297</w:t>
      </w:r>
      <w:r w:rsidRPr="00AC2BC7">
        <w:rPr>
          <w:rFonts w:ascii="Times New Roman" w:hAnsi="Times New Roman" w:cs="Times New Roman"/>
        </w:rPr>
        <w:t xml:space="preserve"> service providers and </w:t>
      </w:r>
      <w:r w:rsidR="009576E0">
        <w:rPr>
          <w:rFonts w:ascii="Times New Roman" w:eastAsia="Times New Roman" w:hAnsi="Times New Roman" w:cs="Times New Roman"/>
          <w:color w:val="000000"/>
        </w:rPr>
        <w:t>52,299</w:t>
      </w:r>
      <w:r w:rsidR="00CF0685" w:rsidRPr="00AC2BC7">
        <w:rPr>
          <w:rFonts w:ascii="Times New Roman" w:eastAsia="Times New Roman" w:hAnsi="Times New Roman" w:cs="Times New Roman"/>
          <w:color w:val="000000"/>
        </w:rPr>
        <w:t xml:space="preserve"> </w:t>
      </w:r>
      <w:r w:rsidRPr="00AC2BC7">
        <w:rPr>
          <w:rFonts w:ascii="Times New Roman" w:hAnsi="Times New Roman" w:cs="Times New Roman"/>
        </w:rPr>
        <w:t>urban census tracts.</w:t>
      </w:r>
    </w:p>
    <w:p w14:paraId="1574D260" w14:textId="4734ED1C" w:rsidR="00EC33DC" w:rsidRPr="00AC2BC7" w:rsidRDefault="00EC33DC" w:rsidP="00121172">
      <w:pPr>
        <w:spacing w:line="240" w:lineRule="auto"/>
        <w:rPr>
          <w:rFonts w:ascii="Times New Roman" w:hAnsi="Times New Roman" w:cs="Times New Roman"/>
        </w:rPr>
      </w:pPr>
      <w:r w:rsidRPr="00AC2BC7">
        <w:rPr>
          <w:rFonts w:ascii="Times New Roman" w:hAnsi="Times New Roman" w:cs="Times New Roman"/>
        </w:rPr>
        <w:t>For each sampling unit, the number of offers</w:t>
      </w:r>
      <w:r w:rsidR="00581308" w:rsidRPr="00AC2BC7">
        <w:rPr>
          <w:rStyle w:val="FootnoteReference"/>
          <w:rFonts w:ascii="Times New Roman" w:hAnsi="Times New Roman" w:cs="Times New Roman"/>
        </w:rPr>
        <w:footnoteReference w:id="7"/>
      </w:r>
      <w:r w:rsidRPr="00AC2BC7">
        <w:rPr>
          <w:rFonts w:ascii="Times New Roman" w:hAnsi="Times New Roman" w:cs="Times New Roman"/>
        </w:rPr>
        <w:t xml:space="preserve"> was calculated as:</w:t>
      </w:r>
    </w:p>
    <w:p w14:paraId="3DB77721" w14:textId="77777777" w:rsidR="00EC33DC" w:rsidRPr="00121172" w:rsidRDefault="00EC33DC" w:rsidP="00121172">
      <w:pPr>
        <w:spacing w:line="240" w:lineRule="auto"/>
        <w:jc w:val="center"/>
        <w:rPr>
          <w:rFonts w:ascii="Times New Roman" w:hAnsi="Times New Roman" w:cs="Times New Roman"/>
          <w:i/>
        </w:rPr>
      </w:pPr>
      <w:r w:rsidRPr="00121172">
        <w:rPr>
          <w:rFonts w:ascii="Times New Roman" w:hAnsi="Times New Roman" w:cs="Times New Roman"/>
          <w:i/>
        </w:rPr>
        <w:t>Offers = Provider Presence Ratio x (Number of households in the sampling unit’s census tract)</w:t>
      </w:r>
    </w:p>
    <w:p w14:paraId="32B8BCA2" w14:textId="0BA09F00" w:rsidR="00977AD1" w:rsidRPr="00AC2BC7" w:rsidRDefault="00625FAC" w:rsidP="00121172">
      <w:pPr>
        <w:spacing w:line="240" w:lineRule="auto"/>
        <w:rPr>
          <w:rFonts w:ascii="Times New Roman" w:hAnsi="Times New Roman" w:cs="Times New Roman"/>
        </w:rPr>
      </w:pPr>
      <w:r w:rsidRPr="00AC2BC7">
        <w:rPr>
          <w:rFonts w:ascii="Times New Roman" w:hAnsi="Times New Roman" w:cs="Times New Roman"/>
        </w:rPr>
        <w:t>The Provider Presence Ratio f</w:t>
      </w:r>
      <w:r w:rsidR="00EC33DC" w:rsidRPr="00AC2BC7">
        <w:rPr>
          <w:rFonts w:ascii="Times New Roman" w:hAnsi="Times New Roman" w:cs="Times New Roman"/>
        </w:rPr>
        <w:t xml:space="preserve">or an ILEC sampling unit </w:t>
      </w:r>
      <w:r w:rsidR="00FC2B32" w:rsidRPr="00AC2BC7">
        <w:rPr>
          <w:rFonts w:ascii="Times New Roman" w:hAnsi="Times New Roman" w:cs="Times New Roman"/>
        </w:rPr>
        <w:t>was</w:t>
      </w:r>
      <w:r w:rsidR="00EC33DC" w:rsidRPr="00AC2BC7">
        <w:rPr>
          <w:rFonts w:ascii="Times New Roman" w:hAnsi="Times New Roman" w:cs="Times New Roman"/>
        </w:rPr>
        <w:t xml:space="preserve"> calculated as the </w:t>
      </w:r>
      <w:r w:rsidR="00683A17" w:rsidRPr="00AC2BC7">
        <w:rPr>
          <w:rFonts w:ascii="Times New Roman" w:hAnsi="Times New Roman" w:cs="Times New Roman"/>
        </w:rPr>
        <w:t>ILEC’s</w:t>
      </w:r>
      <w:r w:rsidR="00EC33DC" w:rsidRPr="00AC2BC7">
        <w:rPr>
          <w:rFonts w:ascii="Times New Roman" w:hAnsi="Times New Roman" w:cs="Times New Roman"/>
        </w:rPr>
        <w:t xml:space="preserve"> fraction of residential subscribers in the census tract relative to the total number of residential subscribers for all ILECs in the census tract.</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Thus, we assumed that the ILEC </w:t>
      </w:r>
      <w:r w:rsidR="00D4766A" w:rsidRPr="00AC2BC7">
        <w:rPr>
          <w:rFonts w:ascii="Times New Roman" w:hAnsi="Times New Roman" w:cs="Times New Roman"/>
        </w:rPr>
        <w:t xml:space="preserve">offered service within </w:t>
      </w:r>
      <w:r w:rsidR="00EC33DC" w:rsidRPr="00AC2BC7">
        <w:rPr>
          <w:rFonts w:ascii="Times New Roman" w:hAnsi="Times New Roman" w:cs="Times New Roman"/>
        </w:rPr>
        <w:t>the entire tract</w:t>
      </w:r>
      <w:r w:rsidR="00EC33DC" w:rsidRPr="00AC2BC7" w:rsidDel="00970E3F">
        <w:rPr>
          <w:rFonts w:ascii="Times New Roman" w:hAnsi="Times New Roman" w:cs="Times New Roman"/>
        </w:rPr>
        <w:t xml:space="preserve"> </w:t>
      </w:r>
      <w:r w:rsidR="00EC33DC" w:rsidRPr="00AC2BC7">
        <w:rPr>
          <w:rFonts w:ascii="Times New Roman" w:hAnsi="Times New Roman" w:cs="Times New Roman"/>
        </w:rPr>
        <w:t>if no other ILEC reported residential subscribers in the census tract.</w:t>
      </w:r>
      <w:r w:rsidR="00503F26" w:rsidRPr="00AC2BC7">
        <w:rPr>
          <w:rFonts w:ascii="Times New Roman" w:hAnsi="Times New Roman" w:cs="Times New Roman"/>
        </w:rPr>
        <w:t xml:space="preserve"> </w:t>
      </w:r>
    </w:p>
    <w:p w14:paraId="5AD5AAFF" w14:textId="1CF674B0" w:rsidR="00EC33DC" w:rsidRPr="00AC2BC7" w:rsidDel="00505BC4" w:rsidRDefault="00625FAC" w:rsidP="00121172">
      <w:pPr>
        <w:spacing w:line="240" w:lineRule="auto"/>
        <w:rPr>
          <w:rFonts w:ascii="Times New Roman" w:hAnsi="Times New Roman" w:cs="Times New Roman"/>
        </w:rPr>
      </w:pPr>
      <w:r w:rsidRPr="00AC2BC7">
        <w:rPr>
          <w:rFonts w:ascii="Times New Roman" w:hAnsi="Times New Roman" w:cs="Times New Roman"/>
        </w:rPr>
        <w:t>The Provider Presence Ratio f</w:t>
      </w:r>
      <w:r w:rsidR="00EC33DC" w:rsidRPr="00AC2BC7">
        <w:rPr>
          <w:rFonts w:ascii="Times New Roman" w:hAnsi="Times New Roman" w:cs="Times New Roman"/>
        </w:rPr>
        <w:t xml:space="preserve">or a </w:t>
      </w:r>
      <w:r w:rsidR="00CE5020">
        <w:rPr>
          <w:rFonts w:ascii="Times New Roman" w:hAnsi="Times New Roman" w:cs="Times New Roman"/>
        </w:rPr>
        <w:t>n</w:t>
      </w:r>
      <w:r w:rsidR="00CE5020" w:rsidRPr="00AC2BC7">
        <w:rPr>
          <w:rFonts w:ascii="Times New Roman" w:hAnsi="Times New Roman" w:cs="Times New Roman"/>
        </w:rPr>
        <w:t>on</w:t>
      </w:r>
      <w:r w:rsidR="00EC33DC" w:rsidRPr="00AC2BC7">
        <w:rPr>
          <w:rFonts w:ascii="Times New Roman" w:hAnsi="Times New Roman" w:cs="Times New Roman"/>
        </w:rPr>
        <w:t>-ILEC sampling unit</w:t>
      </w:r>
      <w:r w:rsidRPr="00AC2BC7">
        <w:rPr>
          <w:rFonts w:ascii="Times New Roman" w:hAnsi="Times New Roman" w:cs="Times New Roman"/>
        </w:rPr>
        <w:t xml:space="preserve"> is</w:t>
      </w:r>
      <w:r w:rsidR="00EC33DC" w:rsidRPr="00AC2BC7">
        <w:rPr>
          <w:rFonts w:ascii="Times New Roman" w:hAnsi="Times New Roman" w:cs="Times New Roman"/>
        </w:rPr>
        <w:t xml:space="preserve"> more complicated because </w:t>
      </w:r>
      <w:r w:rsidR="00CE5020">
        <w:rPr>
          <w:rFonts w:ascii="Times New Roman" w:hAnsi="Times New Roman" w:cs="Times New Roman"/>
        </w:rPr>
        <w:t>n</w:t>
      </w:r>
      <w:r w:rsidR="00CE5020" w:rsidRPr="00AC2BC7">
        <w:rPr>
          <w:rFonts w:ascii="Times New Roman" w:hAnsi="Times New Roman" w:cs="Times New Roman"/>
        </w:rPr>
        <w:t>on</w:t>
      </w:r>
      <w:r w:rsidR="00EC33DC" w:rsidRPr="00AC2BC7">
        <w:rPr>
          <w:rFonts w:ascii="Times New Roman" w:hAnsi="Times New Roman" w:cs="Times New Roman"/>
        </w:rPr>
        <w:t xml:space="preserve">-ILEC providers </w:t>
      </w:r>
      <w:r w:rsidR="004C102C" w:rsidRPr="00AC2BC7">
        <w:rPr>
          <w:rFonts w:ascii="Times New Roman" w:hAnsi="Times New Roman" w:cs="Times New Roman"/>
        </w:rPr>
        <w:t xml:space="preserve">are generally able to </w:t>
      </w:r>
      <w:r w:rsidR="004A773C" w:rsidRPr="00AC2BC7">
        <w:rPr>
          <w:rFonts w:ascii="Times New Roman" w:hAnsi="Times New Roman" w:cs="Times New Roman"/>
        </w:rPr>
        <w:t>define</w:t>
      </w:r>
      <w:r w:rsidR="004C102C" w:rsidRPr="00AC2BC7">
        <w:rPr>
          <w:rFonts w:ascii="Times New Roman" w:hAnsi="Times New Roman" w:cs="Times New Roman"/>
        </w:rPr>
        <w:t xml:space="preserve"> their own service areas</w:t>
      </w:r>
      <w:r w:rsidR="00EC33DC" w:rsidRPr="00AC2BC7">
        <w:rPr>
          <w:rFonts w:ascii="Times New Roman" w:hAnsi="Times New Roman" w:cs="Times New Roman"/>
        </w:rPr>
        <w:t>.</w:t>
      </w:r>
      <w:r w:rsidR="00503F26" w:rsidRPr="00AC2BC7">
        <w:rPr>
          <w:rFonts w:ascii="Times New Roman" w:hAnsi="Times New Roman" w:cs="Times New Roman"/>
        </w:rPr>
        <w:t xml:space="preserve"> </w:t>
      </w:r>
      <w:r w:rsidR="00EC33DC" w:rsidRPr="00AC2BC7">
        <w:rPr>
          <w:rFonts w:ascii="Times New Roman" w:hAnsi="Times New Roman" w:cs="Times New Roman"/>
        </w:rPr>
        <w:t>We therefore need</w:t>
      </w:r>
      <w:r w:rsidR="00FC2B32" w:rsidRPr="00AC2BC7">
        <w:rPr>
          <w:rFonts w:ascii="Times New Roman" w:hAnsi="Times New Roman" w:cs="Times New Roman"/>
        </w:rPr>
        <w:t>ed</w:t>
      </w:r>
      <w:r w:rsidR="00EC33DC" w:rsidRPr="00AC2BC7">
        <w:rPr>
          <w:rFonts w:ascii="Times New Roman" w:hAnsi="Times New Roman" w:cs="Times New Roman"/>
        </w:rPr>
        <w:t xml:space="preserve"> a proxy for the portion of households in the census tract that a </w:t>
      </w:r>
      <w:r w:rsidR="00CE5020">
        <w:rPr>
          <w:rFonts w:ascii="Times New Roman" w:hAnsi="Times New Roman" w:cs="Times New Roman"/>
        </w:rPr>
        <w:t>n</w:t>
      </w:r>
      <w:r w:rsidR="00CE5020" w:rsidRPr="00AC2BC7">
        <w:rPr>
          <w:rFonts w:ascii="Times New Roman" w:hAnsi="Times New Roman" w:cs="Times New Roman"/>
        </w:rPr>
        <w:t>on</w:t>
      </w:r>
      <w:r w:rsidR="00EC33DC" w:rsidRPr="00AC2BC7">
        <w:rPr>
          <w:rFonts w:ascii="Times New Roman" w:hAnsi="Times New Roman" w:cs="Times New Roman"/>
        </w:rPr>
        <w:t>-ILEC provider covers (i.e., the Provider Presence Ratio).</w:t>
      </w:r>
      <w:r w:rsidR="00503F26" w:rsidRPr="00AC2BC7">
        <w:rPr>
          <w:rFonts w:ascii="Times New Roman" w:hAnsi="Times New Roman" w:cs="Times New Roman"/>
        </w:rPr>
        <w:t xml:space="preserve"> </w:t>
      </w:r>
      <w:r w:rsidR="00D4766A" w:rsidRPr="00AC2BC7">
        <w:rPr>
          <w:rFonts w:ascii="Times New Roman" w:hAnsi="Times New Roman" w:cs="Times New Roman"/>
        </w:rPr>
        <w:t xml:space="preserve">To do this, we </w:t>
      </w:r>
      <w:r w:rsidR="00FC2B32" w:rsidRPr="00AC2BC7">
        <w:rPr>
          <w:rFonts w:ascii="Times New Roman" w:hAnsi="Times New Roman" w:cs="Times New Roman"/>
        </w:rPr>
        <w:t>used</w:t>
      </w:r>
      <w:r w:rsidR="00EC33DC" w:rsidRPr="00AC2BC7">
        <w:rPr>
          <w:rFonts w:ascii="Times New Roman" w:hAnsi="Times New Roman" w:cs="Times New Roman"/>
        </w:rPr>
        <w:t xml:space="preserve"> a regression model to estimate the proportion of the census tract’s households to which a </w:t>
      </w:r>
      <w:r w:rsidR="00CE5020">
        <w:rPr>
          <w:rFonts w:ascii="Times New Roman" w:hAnsi="Times New Roman" w:cs="Times New Roman"/>
        </w:rPr>
        <w:t>n</w:t>
      </w:r>
      <w:r w:rsidR="00CE5020" w:rsidRPr="00AC2BC7">
        <w:rPr>
          <w:rFonts w:ascii="Times New Roman" w:hAnsi="Times New Roman" w:cs="Times New Roman"/>
        </w:rPr>
        <w:t>on</w:t>
      </w:r>
      <w:r w:rsidR="00EC33DC" w:rsidRPr="00AC2BC7">
        <w:rPr>
          <w:rFonts w:ascii="Times New Roman" w:hAnsi="Times New Roman" w:cs="Times New Roman"/>
        </w:rPr>
        <w:t>-ILEC provider offers voice service.</w:t>
      </w:r>
      <w:r w:rsidR="00503F26" w:rsidRPr="00AC2BC7">
        <w:rPr>
          <w:rFonts w:ascii="Times New Roman" w:hAnsi="Times New Roman" w:cs="Times New Roman"/>
        </w:rPr>
        <w:t xml:space="preserve"> </w:t>
      </w:r>
      <w:r w:rsidR="00E009B7">
        <w:rPr>
          <w:rFonts w:ascii="Times New Roman" w:hAnsi="Times New Roman" w:cs="Times New Roman"/>
        </w:rPr>
        <w:t>Similar to the 2017</w:t>
      </w:r>
      <w:r w:rsidR="006448D9" w:rsidRPr="00AC2BC7">
        <w:rPr>
          <w:rFonts w:ascii="Times New Roman" w:hAnsi="Times New Roman" w:cs="Times New Roman"/>
        </w:rPr>
        <w:t xml:space="preserve"> survey, t</w:t>
      </w:r>
      <w:r w:rsidR="00E54453" w:rsidRPr="00AC2BC7">
        <w:rPr>
          <w:rFonts w:ascii="Times New Roman" w:hAnsi="Times New Roman" w:cs="Times New Roman"/>
        </w:rPr>
        <w:t xml:space="preserve">he regression model </w:t>
      </w:r>
      <w:r w:rsidR="006448D9" w:rsidRPr="00AC2BC7">
        <w:rPr>
          <w:rFonts w:ascii="Times New Roman" w:hAnsi="Times New Roman" w:cs="Times New Roman"/>
        </w:rPr>
        <w:t xml:space="preserve">for the </w:t>
      </w:r>
      <w:r w:rsidR="00F0723E">
        <w:rPr>
          <w:rFonts w:ascii="Times New Roman" w:hAnsi="Times New Roman" w:cs="Times New Roman"/>
        </w:rPr>
        <w:t>2018</w:t>
      </w:r>
      <w:r w:rsidR="006448D9" w:rsidRPr="00AC2BC7">
        <w:rPr>
          <w:rFonts w:ascii="Times New Roman" w:hAnsi="Times New Roman" w:cs="Times New Roman"/>
        </w:rPr>
        <w:t xml:space="preserve"> survey </w:t>
      </w:r>
      <w:r w:rsidR="00E54453" w:rsidRPr="00AC2BC7">
        <w:rPr>
          <w:rFonts w:ascii="Times New Roman" w:hAnsi="Times New Roman" w:cs="Times New Roman"/>
        </w:rPr>
        <w:t xml:space="preserve">was </w:t>
      </w:r>
      <w:r w:rsidR="006448D9" w:rsidRPr="00AC2BC7">
        <w:rPr>
          <w:rFonts w:ascii="Times New Roman" w:hAnsi="Times New Roman" w:cs="Times New Roman"/>
        </w:rPr>
        <w:t xml:space="preserve">also </w:t>
      </w:r>
      <w:r w:rsidR="00E54453" w:rsidRPr="00AC2BC7">
        <w:rPr>
          <w:rFonts w:ascii="Times New Roman" w:hAnsi="Times New Roman" w:cs="Times New Roman"/>
        </w:rPr>
        <w:t xml:space="preserve">developed based on </w:t>
      </w:r>
      <w:r w:rsidR="00F57EFA" w:rsidRPr="00AC2BC7">
        <w:rPr>
          <w:rFonts w:ascii="Times New Roman" w:hAnsi="Times New Roman" w:cs="Times New Roman"/>
        </w:rPr>
        <w:t xml:space="preserve">FCC Form 477 </w:t>
      </w:r>
      <w:r w:rsidR="00E54453" w:rsidRPr="00AC2BC7">
        <w:rPr>
          <w:rFonts w:ascii="Times New Roman" w:hAnsi="Times New Roman" w:cs="Times New Roman"/>
        </w:rPr>
        <w:t>data relating broadband provider presence to broadband provider subscription</w:t>
      </w:r>
      <w:r w:rsidR="00E009B7">
        <w:rPr>
          <w:rFonts w:ascii="Times New Roman" w:hAnsi="Times New Roman" w:cs="Times New Roman"/>
        </w:rPr>
        <w:t xml:space="preserve"> with state variations</w:t>
      </w:r>
      <w:r w:rsidR="00E54453" w:rsidRPr="00AC2BC7">
        <w:rPr>
          <w:rFonts w:ascii="Times New Roman" w:hAnsi="Times New Roman" w:cs="Times New Roman"/>
        </w:rPr>
        <w:t>.</w:t>
      </w:r>
      <w:r w:rsidR="00EC33DC" w:rsidRPr="00AC2BC7">
        <w:rPr>
          <w:rStyle w:val="FootnoteReference"/>
          <w:rFonts w:ascii="Times New Roman" w:hAnsi="Times New Roman" w:cs="Times New Roman"/>
        </w:rPr>
        <w:footnoteReference w:id="8"/>
      </w:r>
      <w:r w:rsidR="00503F26" w:rsidRPr="00AC2BC7">
        <w:rPr>
          <w:rFonts w:ascii="Times New Roman" w:hAnsi="Times New Roman" w:cs="Times New Roman"/>
        </w:rPr>
        <w:t xml:space="preserve"> </w:t>
      </w:r>
      <w:r w:rsidR="00EC33DC" w:rsidRPr="00AC2BC7">
        <w:rPr>
          <w:rFonts w:ascii="Times New Roman" w:hAnsi="Times New Roman" w:cs="Times New Roman"/>
        </w:rPr>
        <w:t>The resulting equation was then used to create a Provider Presence Ratio equation.</w:t>
      </w:r>
      <w:r w:rsidR="00503F26" w:rsidRPr="00AC2BC7">
        <w:rPr>
          <w:rFonts w:ascii="Times New Roman" w:hAnsi="Times New Roman" w:cs="Times New Roman"/>
        </w:rPr>
        <w:t xml:space="preserve"> </w:t>
      </w:r>
      <w:r w:rsidR="00EC33DC" w:rsidRPr="00AC2BC7">
        <w:rPr>
          <w:rFonts w:ascii="Times New Roman" w:hAnsi="Times New Roman" w:cs="Times New Roman"/>
        </w:rPr>
        <w:t xml:space="preserve">A </w:t>
      </w:r>
      <w:r w:rsidR="00EC33DC" w:rsidRPr="00AC2BC7" w:rsidDel="00505BC4">
        <w:rPr>
          <w:rFonts w:ascii="Times New Roman" w:hAnsi="Times New Roman" w:cs="Times New Roman"/>
        </w:rPr>
        <w:t>Provider Presence</w:t>
      </w:r>
      <w:r w:rsidR="00EC33DC" w:rsidRPr="00AC2BC7">
        <w:rPr>
          <w:rFonts w:ascii="Times New Roman" w:hAnsi="Times New Roman" w:cs="Times New Roman"/>
        </w:rPr>
        <w:t xml:space="preserve"> Ratio</w:t>
      </w:r>
      <w:r w:rsidR="00EC33DC" w:rsidRPr="00AC2BC7" w:rsidDel="00505BC4">
        <w:rPr>
          <w:rFonts w:ascii="Times New Roman" w:hAnsi="Times New Roman" w:cs="Times New Roman"/>
        </w:rPr>
        <w:t xml:space="preserve"> was calculated </w:t>
      </w:r>
      <w:r w:rsidR="00EC33DC" w:rsidRPr="00AC2BC7">
        <w:rPr>
          <w:rFonts w:ascii="Times New Roman" w:hAnsi="Times New Roman" w:cs="Times New Roman"/>
        </w:rPr>
        <w:t xml:space="preserve">for each </w:t>
      </w:r>
      <w:r w:rsidR="00CE5020">
        <w:rPr>
          <w:rFonts w:ascii="Times New Roman" w:hAnsi="Times New Roman" w:cs="Times New Roman"/>
        </w:rPr>
        <w:t>n</w:t>
      </w:r>
      <w:r w:rsidR="00CE5020" w:rsidRPr="00AC2BC7">
        <w:rPr>
          <w:rFonts w:ascii="Times New Roman" w:hAnsi="Times New Roman" w:cs="Times New Roman"/>
        </w:rPr>
        <w:t>on</w:t>
      </w:r>
      <w:r w:rsidR="00EC33DC" w:rsidRPr="00AC2BC7">
        <w:rPr>
          <w:rFonts w:ascii="Times New Roman" w:hAnsi="Times New Roman" w:cs="Times New Roman"/>
        </w:rPr>
        <w:t>-ILEC sampling unit</w:t>
      </w:r>
      <w:r w:rsidR="00EC33DC" w:rsidRPr="00AC2BC7" w:rsidDel="00505BC4">
        <w:rPr>
          <w:rFonts w:ascii="Times New Roman" w:hAnsi="Times New Roman" w:cs="Times New Roman"/>
        </w:rPr>
        <w:t xml:space="preserve"> using the following formula:</w:t>
      </w:r>
    </w:p>
    <w:p w14:paraId="520DEE59" w14:textId="77CDA6BD" w:rsidR="00EC33DC" w:rsidRPr="00AC2BC7" w:rsidDel="00505BC4" w:rsidRDefault="00EC33DC" w:rsidP="00EC33DC">
      <w:pPr>
        <w:jc w:val="center"/>
        <w:rPr>
          <w:rFonts w:ascii="Times New Roman" w:hAnsi="Times New Roman" w:cs="Times New Roman"/>
        </w:rPr>
      </w:pPr>
      <w:r w:rsidRPr="00AC2BC7" w:rsidDel="00505BC4">
        <w:rPr>
          <w:rFonts w:ascii="Times New Roman" w:hAnsi="Times New Roman" w:cs="Times New Roman"/>
        </w:rPr>
        <w:t>Provider Presence</w:t>
      </w:r>
      <w:r w:rsidRPr="00AC2BC7">
        <w:rPr>
          <w:rFonts w:ascii="Times New Roman" w:hAnsi="Times New Roman" w:cs="Times New Roman"/>
        </w:rPr>
        <w:t xml:space="preserve"> Ratio</w:t>
      </w:r>
      <w:r w:rsidR="00E54453" w:rsidRPr="00AC2BC7">
        <w:rPr>
          <w:rFonts w:ascii="Times New Roman" w:hAnsi="Times New Roman" w:cs="Times New Roman"/>
        </w:rPr>
        <w:t xml:space="preserve">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-Y</m:t>
                </m:r>
              </m:sup>
            </m:sSup>
          </m:den>
        </m:f>
      </m:oMath>
    </w:p>
    <w:p w14:paraId="00D6542C" w14:textId="592154D7" w:rsidR="00E54453" w:rsidRPr="00AC2BC7" w:rsidRDefault="00121172" w:rsidP="00EC33DC">
      <w:pPr>
        <w:rPr>
          <w:rFonts w:ascii="Times New Roman" w:hAnsi="Times New Roman" w:cs="Times New Roman"/>
        </w:rPr>
      </w:pPr>
      <w:proofErr w:type="gramStart"/>
      <w:r>
        <w:rPr>
          <w:rFonts w:ascii="Times New Roman" w:hAnsi="Times New Roman" w:cs="Times New Roman"/>
        </w:rPr>
        <w:t>where</w:t>
      </w:r>
      <w:proofErr w:type="gramEnd"/>
    </w:p>
    <w:p w14:paraId="5C724BDA" w14:textId="32FD8A46" w:rsidR="00E54453" w:rsidRPr="00AC2BC7" w:rsidRDefault="00E54453" w:rsidP="00121172">
      <w:pPr>
        <w:ind w:left="720"/>
        <w:rPr>
          <w:rFonts w:ascii="Times New Roman" w:hAnsi="Times New Roman" w:cs="Times New Roman"/>
        </w:rPr>
      </w:pPr>
      <w:r w:rsidRPr="00AC2BC7">
        <w:rPr>
          <w:rFonts w:ascii="Times New Roman" w:hAnsi="Times New Roman" w:cs="Times New Roman"/>
        </w:rPr>
        <w:t>Y = b</w:t>
      </w:r>
      <w:r w:rsidRPr="00AC2BC7">
        <w:rPr>
          <w:rFonts w:ascii="Times New Roman" w:hAnsi="Times New Roman" w:cs="Times New Roman"/>
          <w:vertAlign w:val="subscript"/>
        </w:rPr>
        <w:t>0</w:t>
      </w:r>
      <w:r w:rsidRPr="00AC2BC7">
        <w:rPr>
          <w:rFonts w:ascii="Times New Roman" w:hAnsi="Times New Roman" w:cs="Times New Roman"/>
        </w:rPr>
        <w:t xml:space="preserve"> + b</w:t>
      </w:r>
      <w:r w:rsidRPr="00AC2BC7">
        <w:rPr>
          <w:rFonts w:ascii="Times New Roman" w:hAnsi="Times New Roman" w:cs="Times New Roman"/>
          <w:vertAlign w:val="subscript"/>
        </w:rPr>
        <w:t>1</w:t>
      </w:r>
      <w:r w:rsidRPr="00AC2BC7">
        <w:rPr>
          <w:rFonts w:ascii="Times New Roman" w:hAnsi="Times New Roman" w:cs="Times New Roman"/>
        </w:rPr>
        <w:t xml:space="preserve"> * Log</w:t>
      </w:r>
      <w:r w:rsidRPr="00AC2BC7">
        <w:rPr>
          <w:rFonts w:ascii="Times New Roman" w:hAnsi="Times New Roman" w:cs="Times New Roman"/>
          <w:vertAlign w:val="subscript"/>
        </w:rPr>
        <w:t>10</w:t>
      </w:r>
      <w:r w:rsidR="00A565F6" w:rsidRPr="00AC2BC7">
        <w:rPr>
          <w:rFonts w:ascii="Times New Roman" w:hAnsi="Times New Roman" w:cs="Times New Roman"/>
          <w:vertAlign w:val="subscript"/>
        </w:rPr>
        <w:t xml:space="preserve"> </w:t>
      </w:r>
      <w:r w:rsidRPr="00AC2BC7">
        <w:rPr>
          <w:rFonts w:ascii="Times New Roman" w:hAnsi="Times New Roman" w:cs="Times New Roman"/>
        </w:rPr>
        <w:t>(</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1-X</m:t>
            </m:r>
          </m:den>
        </m:f>
      </m:oMath>
      <w:r w:rsidR="001B0881" w:rsidRPr="00AC2BC7">
        <w:rPr>
          <w:rFonts w:ascii="Times New Roman" w:hAnsi="Times New Roman" w:cs="Times New Roman"/>
        </w:rPr>
        <w:t>) + r</w:t>
      </w:r>
      <w:r w:rsidRPr="00AC2BC7">
        <w:rPr>
          <w:rFonts w:ascii="Times New Roman" w:hAnsi="Times New Roman" w:cs="Times New Roman"/>
          <w:vertAlign w:val="subscript"/>
        </w:rPr>
        <w:t>n</w:t>
      </w:r>
      <w:r w:rsidRPr="00AC2BC7">
        <w:rPr>
          <w:rFonts w:ascii="Times New Roman" w:hAnsi="Times New Roman" w:cs="Times New Roman"/>
        </w:rPr>
        <w:t xml:space="preserve"> * </w:t>
      </w:r>
      <w:proofErr w:type="spellStart"/>
      <w:r w:rsidRPr="00AC2BC7">
        <w:rPr>
          <w:rFonts w:ascii="Times New Roman" w:hAnsi="Times New Roman" w:cs="Times New Roman"/>
        </w:rPr>
        <w:t>state</w:t>
      </w:r>
      <w:r w:rsidRPr="00AC2BC7">
        <w:rPr>
          <w:rFonts w:ascii="Times New Roman" w:hAnsi="Times New Roman" w:cs="Times New Roman"/>
          <w:vertAlign w:val="subscript"/>
        </w:rPr>
        <w:t>n</w:t>
      </w:r>
      <w:proofErr w:type="spellEnd"/>
    </w:p>
    <w:p w14:paraId="27D4D68B" w14:textId="043CB88D" w:rsidR="00E54453" w:rsidRPr="00AC2BC7" w:rsidRDefault="00E54453" w:rsidP="00121172">
      <w:pPr>
        <w:ind w:left="720"/>
        <w:rPr>
          <w:rFonts w:ascii="Times New Roman" w:hAnsi="Times New Roman" w:cs="Times New Roman"/>
        </w:rPr>
      </w:pPr>
      <w:r w:rsidRPr="00AC2BC7">
        <w:rPr>
          <w:rFonts w:ascii="Times New Roman" w:hAnsi="Times New Roman" w:cs="Times New Roman"/>
        </w:rPr>
        <w:t xml:space="preserve">X = residential subscribers for provider in the tract/households in the tract </w:t>
      </w:r>
    </w:p>
    <w:p w14:paraId="2B375F00" w14:textId="1635CF5F" w:rsidR="00E54453" w:rsidRPr="00AC2BC7" w:rsidRDefault="000629F1" w:rsidP="00121172">
      <w:pPr>
        <w:ind w:left="720"/>
        <w:rPr>
          <w:rFonts w:ascii="Times New Roman" w:hAnsi="Times New Roman" w:cs="Times New Roman"/>
        </w:rPr>
      </w:pPr>
      <w:r w:rsidRPr="00AC2BC7">
        <w:rPr>
          <w:rFonts w:ascii="Times New Roman" w:hAnsi="Times New Roman" w:cs="Times New Roman"/>
        </w:rPr>
        <w:t>State = indicators</w:t>
      </w:r>
      <w:r w:rsidR="00E54453" w:rsidRPr="00AC2BC7">
        <w:rPr>
          <w:rFonts w:ascii="Times New Roman" w:hAnsi="Times New Roman" w:cs="Times New Roman"/>
        </w:rPr>
        <w:t xml:space="preserve"> of which state the residential subscribers are in</w:t>
      </w:r>
      <w:r w:rsidR="00BA74EE" w:rsidRPr="00AC2BC7">
        <w:rPr>
          <w:rFonts w:ascii="Times New Roman" w:hAnsi="Times New Roman" w:cs="Times New Roman"/>
        </w:rPr>
        <w:t>.</w:t>
      </w:r>
    </w:p>
    <w:p w14:paraId="43F4798E" w14:textId="07311AD2" w:rsidR="001B0881" w:rsidRPr="00AC2BC7" w:rsidRDefault="001B0881" w:rsidP="00121172">
      <w:pPr>
        <w:ind w:left="720"/>
        <w:rPr>
          <w:rFonts w:ascii="Times New Roman" w:hAnsi="Times New Roman" w:cs="Times New Roman"/>
        </w:rPr>
      </w:pPr>
      <w:r w:rsidRPr="00AC2BC7">
        <w:rPr>
          <w:rFonts w:ascii="Times New Roman" w:hAnsi="Times New Roman" w:cs="Times New Roman"/>
        </w:rPr>
        <w:t>The b</w:t>
      </w:r>
      <w:r w:rsidRPr="00AC2BC7">
        <w:rPr>
          <w:rFonts w:ascii="Times New Roman" w:hAnsi="Times New Roman" w:cs="Times New Roman"/>
          <w:vertAlign w:val="subscript"/>
        </w:rPr>
        <w:t>0</w:t>
      </w:r>
      <w:r w:rsidRPr="00AC2BC7">
        <w:rPr>
          <w:rFonts w:ascii="Times New Roman" w:hAnsi="Times New Roman" w:cs="Times New Roman"/>
        </w:rPr>
        <w:t>, b</w:t>
      </w:r>
      <w:r w:rsidRPr="00AC2BC7">
        <w:rPr>
          <w:rFonts w:ascii="Times New Roman" w:hAnsi="Times New Roman" w:cs="Times New Roman"/>
          <w:vertAlign w:val="subscript"/>
        </w:rPr>
        <w:t>1</w:t>
      </w:r>
      <w:r w:rsidRPr="00AC2BC7">
        <w:rPr>
          <w:rFonts w:ascii="Times New Roman" w:hAnsi="Times New Roman" w:cs="Times New Roman"/>
        </w:rPr>
        <w:t xml:space="preserve">, and </w:t>
      </w:r>
      <w:proofErr w:type="spellStart"/>
      <w:r w:rsidRPr="00AC2BC7">
        <w:rPr>
          <w:rFonts w:ascii="Times New Roman" w:hAnsi="Times New Roman" w:cs="Times New Roman"/>
        </w:rPr>
        <w:t>r</w:t>
      </w:r>
      <w:r w:rsidRPr="00AC2BC7">
        <w:rPr>
          <w:rFonts w:ascii="Times New Roman" w:hAnsi="Times New Roman" w:cs="Times New Roman"/>
          <w:vertAlign w:val="subscript"/>
        </w:rPr>
        <w:t>n</w:t>
      </w:r>
      <w:proofErr w:type="spellEnd"/>
      <w:r w:rsidRPr="00AC2BC7">
        <w:rPr>
          <w:rFonts w:ascii="Times New Roman" w:hAnsi="Times New Roman" w:cs="Times New Roman"/>
        </w:rPr>
        <w:t xml:space="preserve"> are model coefficients.</w:t>
      </w:r>
      <w:r w:rsidR="00503F26" w:rsidRPr="00AC2BC7">
        <w:rPr>
          <w:rFonts w:ascii="Times New Roman" w:hAnsi="Times New Roman" w:cs="Times New Roman"/>
        </w:rPr>
        <w:t xml:space="preserve"> </w:t>
      </w:r>
      <w:r w:rsidR="005517C3" w:rsidRPr="00AC2BC7">
        <w:rPr>
          <w:rFonts w:ascii="Times New Roman" w:hAnsi="Times New Roman" w:cs="Times New Roman"/>
        </w:rPr>
        <w:t xml:space="preserve">The model coefficients are </w:t>
      </w:r>
      <w:r w:rsidR="000629F1" w:rsidRPr="00AC2BC7">
        <w:rPr>
          <w:rFonts w:ascii="Times New Roman" w:hAnsi="Times New Roman" w:cs="Times New Roman"/>
        </w:rPr>
        <w:t xml:space="preserve">included </w:t>
      </w:r>
      <w:r w:rsidR="005517C3" w:rsidRPr="00AC2BC7">
        <w:rPr>
          <w:rFonts w:ascii="Times New Roman" w:hAnsi="Times New Roman" w:cs="Times New Roman"/>
        </w:rPr>
        <w:t xml:space="preserve">in the Appendix. </w:t>
      </w:r>
    </w:p>
    <w:p w14:paraId="26850B0A" w14:textId="7777B622" w:rsidR="00FC2B32" w:rsidRPr="00AC2BC7" w:rsidRDefault="002F134E" w:rsidP="00121172">
      <w:pPr>
        <w:spacing w:line="240" w:lineRule="auto"/>
        <w:rPr>
          <w:rFonts w:ascii="Times New Roman" w:hAnsi="Times New Roman" w:cs="Times New Roman"/>
        </w:rPr>
      </w:pPr>
      <w:r w:rsidRPr="00AC2BC7">
        <w:rPr>
          <w:rFonts w:ascii="Times New Roman" w:hAnsi="Times New Roman" w:cs="Times New Roman"/>
        </w:rPr>
        <w:t xml:space="preserve">A sample of </w:t>
      </w:r>
      <w:r w:rsidR="00E009B7">
        <w:rPr>
          <w:rFonts w:ascii="Times New Roman" w:eastAsia="Times New Roman" w:hAnsi="Times New Roman" w:cs="Times New Roman"/>
          <w:color w:val="000000"/>
        </w:rPr>
        <w:t>208</w:t>
      </w:r>
      <w:r w:rsidRPr="00AC2BC7">
        <w:rPr>
          <w:rFonts w:ascii="Times New Roman" w:hAnsi="Times New Roman" w:cs="Times New Roman"/>
        </w:rPr>
        <w:t xml:space="preserve"> </w:t>
      </w:r>
      <w:r w:rsidR="004C1754" w:rsidRPr="00AC2BC7">
        <w:rPr>
          <w:rFonts w:ascii="Times New Roman" w:hAnsi="Times New Roman" w:cs="Times New Roman"/>
        </w:rPr>
        <w:t xml:space="preserve">and a sample of </w:t>
      </w:r>
      <w:r w:rsidR="00E009B7">
        <w:rPr>
          <w:rFonts w:ascii="Times New Roman" w:eastAsia="Times New Roman" w:hAnsi="Times New Roman" w:cs="Times New Roman"/>
          <w:color w:val="000000"/>
        </w:rPr>
        <w:t>292</w:t>
      </w:r>
      <w:r w:rsidR="004C1754" w:rsidRPr="00AC2BC7">
        <w:rPr>
          <w:rFonts w:ascii="Times New Roman" w:hAnsi="Times New Roman" w:cs="Times New Roman"/>
        </w:rPr>
        <w:t xml:space="preserve"> sampling units were</w:t>
      </w:r>
      <w:r w:rsidR="00FC2B32" w:rsidRPr="00AC2BC7">
        <w:rPr>
          <w:rFonts w:ascii="Times New Roman" w:hAnsi="Times New Roman" w:cs="Times New Roman"/>
        </w:rPr>
        <w:t xml:space="preserve"> selected </w:t>
      </w:r>
      <w:r w:rsidR="004C1754" w:rsidRPr="00AC2BC7">
        <w:rPr>
          <w:rFonts w:ascii="Times New Roman" w:hAnsi="Times New Roman" w:cs="Times New Roman"/>
        </w:rPr>
        <w:t>randomly with unequal selection probability as a function of number of offers from a provider in a given tract, from the ILEC and non-</w:t>
      </w:r>
      <w:r w:rsidR="004C1754" w:rsidRPr="00AC2BC7">
        <w:rPr>
          <w:rFonts w:ascii="Times New Roman" w:hAnsi="Times New Roman" w:cs="Times New Roman"/>
        </w:rPr>
        <w:lastRenderedPageBreak/>
        <w:t xml:space="preserve">ILEC stratum respectively. </w:t>
      </w:r>
      <w:r w:rsidR="00977AD1" w:rsidRPr="00AC2BC7">
        <w:rPr>
          <w:rFonts w:ascii="Times New Roman" w:hAnsi="Times New Roman" w:cs="Times New Roman"/>
        </w:rPr>
        <w:t>The sample size in each stratum was allocated proportionally to that of the total offers.</w:t>
      </w:r>
      <w:r w:rsidR="00503F26" w:rsidRPr="00AC2BC7">
        <w:rPr>
          <w:rFonts w:ascii="Times New Roman" w:hAnsi="Times New Roman" w:cs="Times New Roman"/>
        </w:rPr>
        <w:t xml:space="preserve"> </w:t>
      </w:r>
      <w:r w:rsidR="004C1754" w:rsidRPr="00AC2BC7">
        <w:rPr>
          <w:rFonts w:ascii="Times New Roman" w:hAnsi="Times New Roman" w:cs="Times New Roman"/>
        </w:rPr>
        <w:t xml:space="preserve">The selection </w:t>
      </w:r>
      <w:r w:rsidRPr="00AC2BC7">
        <w:rPr>
          <w:rFonts w:ascii="Times New Roman" w:hAnsi="Times New Roman" w:cs="Times New Roman"/>
        </w:rPr>
        <w:t>was performed using the “</w:t>
      </w:r>
      <w:r w:rsidR="009A1943" w:rsidRPr="00AC2BC7">
        <w:rPr>
          <w:rFonts w:ascii="Times New Roman" w:hAnsi="Times New Roman" w:cs="Times New Roman"/>
        </w:rPr>
        <w:t>strata</w:t>
      </w:r>
      <w:r w:rsidRPr="00AC2BC7">
        <w:rPr>
          <w:rFonts w:ascii="Times New Roman" w:hAnsi="Times New Roman" w:cs="Times New Roman"/>
        </w:rPr>
        <w:t xml:space="preserve">” procedure in </w:t>
      </w:r>
      <w:r w:rsidR="00503F26" w:rsidRPr="00AC2BC7">
        <w:rPr>
          <w:rFonts w:ascii="Times New Roman" w:hAnsi="Times New Roman" w:cs="Times New Roman"/>
        </w:rPr>
        <w:t xml:space="preserve">the </w:t>
      </w:r>
      <w:r w:rsidR="004C1754" w:rsidRPr="00AC2BC7">
        <w:rPr>
          <w:rFonts w:ascii="Times New Roman" w:hAnsi="Times New Roman" w:cs="Times New Roman"/>
        </w:rPr>
        <w:t xml:space="preserve">R </w:t>
      </w:r>
      <w:r w:rsidR="000629F1" w:rsidRPr="00AC2BC7">
        <w:rPr>
          <w:rFonts w:ascii="Times New Roman" w:hAnsi="Times New Roman" w:cs="Times New Roman"/>
        </w:rPr>
        <w:t>sampling package</w:t>
      </w:r>
      <w:r w:rsidRPr="00AC2BC7">
        <w:rPr>
          <w:rFonts w:ascii="Times New Roman" w:hAnsi="Times New Roman" w:cs="Times New Roman"/>
        </w:rPr>
        <w:t xml:space="preserve"> </w:t>
      </w:r>
      <w:r w:rsidR="00FC2B32" w:rsidRPr="00AC2BC7">
        <w:rPr>
          <w:rFonts w:ascii="Times New Roman" w:hAnsi="Times New Roman" w:cs="Times New Roman"/>
        </w:rPr>
        <w:t xml:space="preserve">weighted proportionately by the </w:t>
      </w:r>
      <w:r w:rsidRPr="00AC2BC7">
        <w:rPr>
          <w:rFonts w:ascii="Times New Roman" w:hAnsi="Times New Roman" w:cs="Times New Roman"/>
        </w:rPr>
        <w:t>units’ number of offers described earlier</w:t>
      </w:r>
      <w:r w:rsidR="00FC2B32" w:rsidRPr="00AC2BC7">
        <w:rPr>
          <w:rFonts w:ascii="Times New Roman" w:hAnsi="Times New Roman" w:cs="Times New Roman"/>
        </w:rPr>
        <w:t xml:space="preserve">. </w:t>
      </w:r>
    </w:p>
    <w:p w14:paraId="367BAD61" w14:textId="02004B8B" w:rsidR="004C1754" w:rsidRPr="00AC2BC7" w:rsidRDefault="009A650A" w:rsidP="00121172">
      <w:pPr>
        <w:spacing w:line="240" w:lineRule="auto"/>
        <w:rPr>
          <w:rFonts w:ascii="Times New Roman" w:hAnsi="Times New Roman" w:cs="Times New Roman"/>
        </w:rPr>
      </w:pPr>
      <w:r w:rsidRPr="00AC2BC7">
        <w:rPr>
          <w:rFonts w:ascii="Times New Roman" w:hAnsi="Times New Roman" w:cs="Times New Roman"/>
        </w:rPr>
        <w:t>The following table summarizes the survey frame and the sample drawn from it:</w:t>
      </w:r>
    </w:p>
    <w:tbl>
      <w:tblPr>
        <w:tblW w:w="0" w:type="auto"/>
        <w:jc w:val="center"/>
        <w:tblLook w:val="04A0" w:firstRow="1" w:lastRow="0" w:firstColumn="1" w:lastColumn="0" w:noHBand="0" w:noVBand="1"/>
      </w:tblPr>
      <w:tblGrid>
        <w:gridCol w:w="876"/>
        <w:gridCol w:w="1157"/>
        <w:gridCol w:w="1261"/>
        <w:gridCol w:w="1060"/>
        <w:gridCol w:w="1457"/>
        <w:gridCol w:w="1646"/>
      </w:tblGrid>
      <w:tr w:rsidR="00E009B7" w:rsidRPr="00E009B7" w14:paraId="093C06B1" w14:textId="77777777" w:rsidTr="00E009B7">
        <w:trPr>
          <w:trHeight w:val="300"/>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5587D08F"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8EB45"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Stratum</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C46906E"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Units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1FA80D"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Providers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B7EB744"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Census Tracts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497C8C"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Offers</w:t>
            </w:r>
          </w:p>
        </w:tc>
      </w:tr>
      <w:tr w:rsidR="00E009B7" w:rsidRPr="00E009B7" w14:paraId="1F492509" w14:textId="77777777" w:rsidTr="00E009B7">
        <w:trPr>
          <w:trHeight w:val="300"/>
          <w:jc w:val="center"/>
        </w:trPr>
        <w:tc>
          <w:tcPr>
            <w:tcW w:w="0" w:type="auto"/>
            <w:tcBorders>
              <w:top w:val="nil"/>
              <w:left w:val="single" w:sz="4" w:space="0" w:color="auto"/>
              <w:bottom w:val="nil"/>
              <w:right w:val="nil"/>
            </w:tcBorders>
            <w:shd w:val="clear" w:color="auto" w:fill="auto"/>
            <w:noWrap/>
            <w:vAlign w:val="bottom"/>
            <w:hideMark/>
          </w:tcPr>
          <w:p w14:paraId="5ED96321"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Frame</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BCD6FB"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Overall</w:t>
            </w:r>
          </w:p>
        </w:tc>
        <w:tc>
          <w:tcPr>
            <w:tcW w:w="0" w:type="auto"/>
            <w:tcBorders>
              <w:top w:val="nil"/>
              <w:left w:val="nil"/>
              <w:bottom w:val="single" w:sz="4" w:space="0" w:color="auto"/>
              <w:right w:val="single" w:sz="4" w:space="0" w:color="auto"/>
            </w:tcBorders>
            <w:shd w:val="clear" w:color="auto" w:fill="auto"/>
            <w:noWrap/>
            <w:vAlign w:val="bottom"/>
            <w:hideMark/>
          </w:tcPr>
          <w:p w14:paraId="6B904DE5"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160,885 </w:t>
            </w:r>
          </w:p>
        </w:tc>
        <w:tc>
          <w:tcPr>
            <w:tcW w:w="0" w:type="auto"/>
            <w:tcBorders>
              <w:top w:val="nil"/>
              <w:left w:val="nil"/>
              <w:bottom w:val="single" w:sz="4" w:space="0" w:color="auto"/>
              <w:right w:val="single" w:sz="4" w:space="0" w:color="auto"/>
            </w:tcBorders>
            <w:shd w:val="clear" w:color="auto" w:fill="auto"/>
            <w:noWrap/>
            <w:vAlign w:val="bottom"/>
            <w:hideMark/>
          </w:tcPr>
          <w:p w14:paraId="1A094DEB"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699 </w:t>
            </w:r>
          </w:p>
        </w:tc>
        <w:tc>
          <w:tcPr>
            <w:tcW w:w="0" w:type="auto"/>
            <w:tcBorders>
              <w:top w:val="nil"/>
              <w:left w:val="nil"/>
              <w:bottom w:val="single" w:sz="4" w:space="0" w:color="auto"/>
              <w:right w:val="single" w:sz="4" w:space="0" w:color="auto"/>
            </w:tcBorders>
            <w:shd w:val="clear" w:color="auto" w:fill="auto"/>
            <w:noWrap/>
            <w:vAlign w:val="bottom"/>
            <w:hideMark/>
          </w:tcPr>
          <w:p w14:paraId="71FEF06F"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58,149 </w:t>
            </w:r>
          </w:p>
        </w:tc>
        <w:tc>
          <w:tcPr>
            <w:tcW w:w="0" w:type="auto"/>
            <w:tcBorders>
              <w:top w:val="nil"/>
              <w:left w:val="nil"/>
              <w:bottom w:val="single" w:sz="4" w:space="0" w:color="auto"/>
              <w:right w:val="single" w:sz="4" w:space="0" w:color="auto"/>
            </w:tcBorders>
            <w:shd w:val="clear" w:color="auto" w:fill="auto"/>
            <w:noWrap/>
            <w:vAlign w:val="bottom"/>
            <w:hideMark/>
          </w:tcPr>
          <w:p w14:paraId="5C5AB7C7"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229,899,175 </w:t>
            </w:r>
          </w:p>
        </w:tc>
      </w:tr>
      <w:tr w:rsidR="00E009B7" w:rsidRPr="00E009B7" w14:paraId="4B4CF759" w14:textId="77777777" w:rsidTr="00E009B7">
        <w:trPr>
          <w:trHeight w:val="300"/>
          <w:jc w:val="center"/>
        </w:trPr>
        <w:tc>
          <w:tcPr>
            <w:tcW w:w="0" w:type="auto"/>
            <w:tcBorders>
              <w:top w:val="nil"/>
              <w:left w:val="single" w:sz="4" w:space="0" w:color="auto"/>
              <w:bottom w:val="nil"/>
              <w:right w:val="nil"/>
            </w:tcBorders>
            <w:shd w:val="clear" w:color="auto" w:fill="auto"/>
            <w:noWrap/>
            <w:vAlign w:val="bottom"/>
            <w:hideMark/>
          </w:tcPr>
          <w:p w14:paraId="541E98A5"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2CBA2"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ILEC</w:t>
            </w:r>
          </w:p>
        </w:tc>
        <w:tc>
          <w:tcPr>
            <w:tcW w:w="0" w:type="auto"/>
            <w:tcBorders>
              <w:top w:val="nil"/>
              <w:left w:val="nil"/>
              <w:bottom w:val="single" w:sz="4" w:space="0" w:color="auto"/>
              <w:right w:val="single" w:sz="4" w:space="0" w:color="auto"/>
            </w:tcBorders>
            <w:shd w:val="clear" w:color="auto" w:fill="auto"/>
            <w:noWrap/>
            <w:vAlign w:val="bottom"/>
            <w:hideMark/>
          </w:tcPr>
          <w:p w14:paraId="15DAC997"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63,912 </w:t>
            </w:r>
          </w:p>
        </w:tc>
        <w:tc>
          <w:tcPr>
            <w:tcW w:w="0" w:type="auto"/>
            <w:tcBorders>
              <w:top w:val="nil"/>
              <w:left w:val="nil"/>
              <w:bottom w:val="single" w:sz="4" w:space="0" w:color="auto"/>
              <w:right w:val="single" w:sz="4" w:space="0" w:color="auto"/>
            </w:tcBorders>
            <w:shd w:val="clear" w:color="auto" w:fill="auto"/>
            <w:noWrap/>
            <w:vAlign w:val="bottom"/>
            <w:hideMark/>
          </w:tcPr>
          <w:p w14:paraId="05746121"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424 </w:t>
            </w:r>
          </w:p>
        </w:tc>
        <w:tc>
          <w:tcPr>
            <w:tcW w:w="0" w:type="auto"/>
            <w:tcBorders>
              <w:top w:val="nil"/>
              <w:left w:val="nil"/>
              <w:bottom w:val="single" w:sz="4" w:space="0" w:color="auto"/>
              <w:right w:val="single" w:sz="4" w:space="0" w:color="auto"/>
            </w:tcBorders>
            <w:shd w:val="clear" w:color="auto" w:fill="auto"/>
            <w:noWrap/>
            <w:vAlign w:val="bottom"/>
            <w:hideMark/>
          </w:tcPr>
          <w:p w14:paraId="5CBED619"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58,036 </w:t>
            </w:r>
          </w:p>
        </w:tc>
        <w:tc>
          <w:tcPr>
            <w:tcW w:w="0" w:type="auto"/>
            <w:tcBorders>
              <w:top w:val="nil"/>
              <w:left w:val="nil"/>
              <w:bottom w:val="single" w:sz="4" w:space="0" w:color="auto"/>
              <w:right w:val="single" w:sz="4" w:space="0" w:color="auto"/>
            </w:tcBorders>
            <w:shd w:val="clear" w:color="auto" w:fill="auto"/>
            <w:noWrap/>
            <w:vAlign w:val="bottom"/>
            <w:hideMark/>
          </w:tcPr>
          <w:p w14:paraId="2028763E"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95,604,106 </w:t>
            </w:r>
          </w:p>
        </w:tc>
      </w:tr>
      <w:tr w:rsidR="00E009B7" w:rsidRPr="00E009B7" w14:paraId="447EA636" w14:textId="77777777" w:rsidTr="00E009B7">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14:paraId="62B9EE77"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E42F8"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Non-ILEC</w:t>
            </w:r>
          </w:p>
        </w:tc>
        <w:tc>
          <w:tcPr>
            <w:tcW w:w="0" w:type="auto"/>
            <w:tcBorders>
              <w:top w:val="nil"/>
              <w:left w:val="nil"/>
              <w:bottom w:val="single" w:sz="4" w:space="0" w:color="auto"/>
              <w:right w:val="single" w:sz="4" w:space="0" w:color="auto"/>
            </w:tcBorders>
            <w:shd w:val="clear" w:color="auto" w:fill="auto"/>
            <w:noWrap/>
            <w:vAlign w:val="bottom"/>
            <w:hideMark/>
          </w:tcPr>
          <w:p w14:paraId="625BE19C"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96,973 </w:t>
            </w:r>
          </w:p>
        </w:tc>
        <w:tc>
          <w:tcPr>
            <w:tcW w:w="0" w:type="auto"/>
            <w:tcBorders>
              <w:top w:val="nil"/>
              <w:left w:val="nil"/>
              <w:bottom w:val="single" w:sz="4" w:space="0" w:color="auto"/>
              <w:right w:val="single" w:sz="4" w:space="0" w:color="auto"/>
            </w:tcBorders>
            <w:shd w:val="clear" w:color="auto" w:fill="auto"/>
            <w:noWrap/>
            <w:vAlign w:val="bottom"/>
            <w:hideMark/>
          </w:tcPr>
          <w:p w14:paraId="79EAFC61"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297 </w:t>
            </w:r>
          </w:p>
        </w:tc>
        <w:tc>
          <w:tcPr>
            <w:tcW w:w="0" w:type="auto"/>
            <w:tcBorders>
              <w:top w:val="nil"/>
              <w:left w:val="nil"/>
              <w:bottom w:val="single" w:sz="4" w:space="0" w:color="auto"/>
              <w:right w:val="single" w:sz="4" w:space="0" w:color="auto"/>
            </w:tcBorders>
            <w:shd w:val="clear" w:color="auto" w:fill="auto"/>
            <w:noWrap/>
            <w:vAlign w:val="bottom"/>
            <w:hideMark/>
          </w:tcPr>
          <w:p w14:paraId="46E105DB"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52,299 </w:t>
            </w:r>
          </w:p>
        </w:tc>
        <w:tc>
          <w:tcPr>
            <w:tcW w:w="0" w:type="auto"/>
            <w:tcBorders>
              <w:top w:val="nil"/>
              <w:left w:val="nil"/>
              <w:bottom w:val="single" w:sz="4" w:space="0" w:color="auto"/>
              <w:right w:val="single" w:sz="4" w:space="0" w:color="auto"/>
            </w:tcBorders>
            <w:shd w:val="clear" w:color="auto" w:fill="auto"/>
            <w:noWrap/>
            <w:vAlign w:val="bottom"/>
            <w:hideMark/>
          </w:tcPr>
          <w:p w14:paraId="41AA7CB3"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134,295,069 </w:t>
            </w:r>
          </w:p>
        </w:tc>
      </w:tr>
      <w:tr w:rsidR="00E009B7" w:rsidRPr="00E009B7" w14:paraId="0E2587B7" w14:textId="77777777" w:rsidTr="00E009B7">
        <w:trPr>
          <w:trHeight w:val="300"/>
          <w:jc w:val="center"/>
        </w:trPr>
        <w:tc>
          <w:tcPr>
            <w:tcW w:w="0" w:type="auto"/>
            <w:tcBorders>
              <w:top w:val="nil"/>
              <w:left w:val="single" w:sz="4" w:space="0" w:color="auto"/>
              <w:bottom w:val="nil"/>
              <w:right w:val="nil"/>
            </w:tcBorders>
            <w:shd w:val="clear" w:color="auto" w:fill="auto"/>
            <w:noWrap/>
            <w:vAlign w:val="bottom"/>
            <w:hideMark/>
          </w:tcPr>
          <w:p w14:paraId="49BB2E86"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Sample</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F49A68"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Overall</w:t>
            </w:r>
          </w:p>
        </w:tc>
        <w:tc>
          <w:tcPr>
            <w:tcW w:w="0" w:type="auto"/>
            <w:tcBorders>
              <w:top w:val="nil"/>
              <w:left w:val="nil"/>
              <w:bottom w:val="single" w:sz="4" w:space="0" w:color="auto"/>
              <w:right w:val="single" w:sz="4" w:space="0" w:color="auto"/>
            </w:tcBorders>
            <w:shd w:val="clear" w:color="auto" w:fill="auto"/>
            <w:noWrap/>
            <w:vAlign w:val="bottom"/>
            <w:hideMark/>
          </w:tcPr>
          <w:p w14:paraId="3ED44573"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500 </w:t>
            </w:r>
          </w:p>
        </w:tc>
        <w:tc>
          <w:tcPr>
            <w:tcW w:w="0" w:type="auto"/>
            <w:tcBorders>
              <w:top w:val="nil"/>
              <w:left w:val="nil"/>
              <w:bottom w:val="single" w:sz="4" w:space="0" w:color="auto"/>
              <w:right w:val="single" w:sz="4" w:space="0" w:color="auto"/>
            </w:tcBorders>
            <w:shd w:val="clear" w:color="auto" w:fill="auto"/>
            <w:noWrap/>
            <w:vAlign w:val="bottom"/>
            <w:hideMark/>
          </w:tcPr>
          <w:p w14:paraId="7079130F"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67 </w:t>
            </w:r>
          </w:p>
        </w:tc>
        <w:tc>
          <w:tcPr>
            <w:tcW w:w="0" w:type="auto"/>
            <w:tcBorders>
              <w:top w:val="nil"/>
              <w:left w:val="nil"/>
              <w:bottom w:val="single" w:sz="4" w:space="0" w:color="auto"/>
              <w:right w:val="single" w:sz="4" w:space="0" w:color="auto"/>
            </w:tcBorders>
            <w:shd w:val="clear" w:color="auto" w:fill="auto"/>
            <w:noWrap/>
            <w:vAlign w:val="bottom"/>
            <w:hideMark/>
          </w:tcPr>
          <w:p w14:paraId="6FDD0ED2"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499 </w:t>
            </w:r>
          </w:p>
        </w:tc>
        <w:tc>
          <w:tcPr>
            <w:tcW w:w="0" w:type="auto"/>
            <w:tcBorders>
              <w:top w:val="nil"/>
              <w:left w:val="nil"/>
              <w:bottom w:val="single" w:sz="4" w:space="0" w:color="auto"/>
              <w:right w:val="single" w:sz="4" w:space="0" w:color="auto"/>
            </w:tcBorders>
            <w:shd w:val="clear" w:color="auto" w:fill="auto"/>
            <w:noWrap/>
            <w:vAlign w:val="bottom"/>
            <w:hideMark/>
          </w:tcPr>
          <w:p w14:paraId="0E8E8F8B"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936,348 </w:t>
            </w:r>
          </w:p>
        </w:tc>
      </w:tr>
      <w:tr w:rsidR="00E009B7" w:rsidRPr="00E009B7" w14:paraId="5077902A" w14:textId="77777777" w:rsidTr="00E009B7">
        <w:trPr>
          <w:trHeight w:val="300"/>
          <w:jc w:val="center"/>
        </w:trPr>
        <w:tc>
          <w:tcPr>
            <w:tcW w:w="0" w:type="auto"/>
            <w:tcBorders>
              <w:top w:val="nil"/>
              <w:left w:val="single" w:sz="4" w:space="0" w:color="auto"/>
              <w:bottom w:val="nil"/>
              <w:right w:val="nil"/>
            </w:tcBorders>
            <w:shd w:val="clear" w:color="auto" w:fill="auto"/>
            <w:noWrap/>
            <w:vAlign w:val="bottom"/>
            <w:hideMark/>
          </w:tcPr>
          <w:p w14:paraId="50D41E25"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9540CA"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ILEC</w:t>
            </w:r>
          </w:p>
        </w:tc>
        <w:tc>
          <w:tcPr>
            <w:tcW w:w="0" w:type="auto"/>
            <w:tcBorders>
              <w:top w:val="nil"/>
              <w:left w:val="nil"/>
              <w:bottom w:val="single" w:sz="4" w:space="0" w:color="auto"/>
              <w:right w:val="single" w:sz="4" w:space="0" w:color="auto"/>
            </w:tcBorders>
            <w:shd w:val="clear" w:color="auto" w:fill="auto"/>
            <w:noWrap/>
            <w:vAlign w:val="bottom"/>
            <w:hideMark/>
          </w:tcPr>
          <w:p w14:paraId="1CE36CF0"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208 </w:t>
            </w:r>
          </w:p>
        </w:tc>
        <w:tc>
          <w:tcPr>
            <w:tcW w:w="0" w:type="auto"/>
            <w:tcBorders>
              <w:top w:val="nil"/>
              <w:left w:val="nil"/>
              <w:bottom w:val="single" w:sz="4" w:space="0" w:color="auto"/>
              <w:right w:val="single" w:sz="4" w:space="0" w:color="auto"/>
            </w:tcBorders>
            <w:shd w:val="clear" w:color="auto" w:fill="auto"/>
            <w:noWrap/>
            <w:vAlign w:val="bottom"/>
            <w:hideMark/>
          </w:tcPr>
          <w:p w14:paraId="5BD6E7DC"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25 </w:t>
            </w:r>
          </w:p>
        </w:tc>
        <w:tc>
          <w:tcPr>
            <w:tcW w:w="0" w:type="auto"/>
            <w:tcBorders>
              <w:top w:val="nil"/>
              <w:left w:val="nil"/>
              <w:bottom w:val="single" w:sz="4" w:space="0" w:color="auto"/>
              <w:right w:val="single" w:sz="4" w:space="0" w:color="auto"/>
            </w:tcBorders>
            <w:shd w:val="clear" w:color="auto" w:fill="auto"/>
            <w:noWrap/>
            <w:vAlign w:val="bottom"/>
            <w:hideMark/>
          </w:tcPr>
          <w:p w14:paraId="5E89D75C"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208 </w:t>
            </w:r>
          </w:p>
        </w:tc>
        <w:tc>
          <w:tcPr>
            <w:tcW w:w="0" w:type="auto"/>
            <w:tcBorders>
              <w:top w:val="nil"/>
              <w:left w:val="nil"/>
              <w:bottom w:val="single" w:sz="4" w:space="0" w:color="auto"/>
              <w:right w:val="single" w:sz="4" w:space="0" w:color="auto"/>
            </w:tcBorders>
            <w:shd w:val="clear" w:color="auto" w:fill="auto"/>
            <w:noWrap/>
            <w:vAlign w:val="bottom"/>
            <w:hideMark/>
          </w:tcPr>
          <w:p w14:paraId="6917C899"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410,976 </w:t>
            </w:r>
          </w:p>
        </w:tc>
      </w:tr>
      <w:tr w:rsidR="00E009B7" w:rsidRPr="00E009B7" w14:paraId="72E3B487" w14:textId="77777777" w:rsidTr="00E009B7">
        <w:trPr>
          <w:trHeight w:val="300"/>
          <w:jc w:val="center"/>
        </w:trPr>
        <w:tc>
          <w:tcPr>
            <w:tcW w:w="0" w:type="auto"/>
            <w:tcBorders>
              <w:top w:val="nil"/>
              <w:left w:val="single" w:sz="4" w:space="0" w:color="auto"/>
              <w:bottom w:val="single" w:sz="4" w:space="0" w:color="auto"/>
              <w:right w:val="nil"/>
            </w:tcBorders>
            <w:shd w:val="clear" w:color="auto" w:fill="auto"/>
            <w:noWrap/>
            <w:vAlign w:val="bottom"/>
            <w:hideMark/>
          </w:tcPr>
          <w:p w14:paraId="15E27B65"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A486E4"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Non-ILEC</w:t>
            </w:r>
          </w:p>
        </w:tc>
        <w:tc>
          <w:tcPr>
            <w:tcW w:w="0" w:type="auto"/>
            <w:tcBorders>
              <w:top w:val="nil"/>
              <w:left w:val="nil"/>
              <w:bottom w:val="single" w:sz="4" w:space="0" w:color="auto"/>
              <w:right w:val="single" w:sz="4" w:space="0" w:color="auto"/>
            </w:tcBorders>
            <w:shd w:val="clear" w:color="auto" w:fill="auto"/>
            <w:noWrap/>
            <w:vAlign w:val="bottom"/>
            <w:hideMark/>
          </w:tcPr>
          <w:p w14:paraId="3ED7B152"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292 </w:t>
            </w:r>
          </w:p>
        </w:tc>
        <w:tc>
          <w:tcPr>
            <w:tcW w:w="0" w:type="auto"/>
            <w:tcBorders>
              <w:top w:val="nil"/>
              <w:left w:val="nil"/>
              <w:bottom w:val="single" w:sz="4" w:space="0" w:color="auto"/>
              <w:right w:val="single" w:sz="4" w:space="0" w:color="auto"/>
            </w:tcBorders>
            <w:shd w:val="clear" w:color="auto" w:fill="auto"/>
            <w:noWrap/>
            <w:vAlign w:val="bottom"/>
            <w:hideMark/>
          </w:tcPr>
          <w:p w14:paraId="73BA5E1E"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44 </w:t>
            </w:r>
          </w:p>
        </w:tc>
        <w:tc>
          <w:tcPr>
            <w:tcW w:w="0" w:type="auto"/>
            <w:tcBorders>
              <w:top w:val="nil"/>
              <w:left w:val="nil"/>
              <w:bottom w:val="single" w:sz="4" w:space="0" w:color="auto"/>
              <w:right w:val="single" w:sz="4" w:space="0" w:color="auto"/>
            </w:tcBorders>
            <w:shd w:val="clear" w:color="auto" w:fill="auto"/>
            <w:noWrap/>
            <w:vAlign w:val="bottom"/>
            <w:hideMark/>
          </w:tcPr>
          <w:p w14:paraId="4FB9A21A"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292 </w:t>
            </w:r>
          </w:p>
        </w:tc>
        <w:tc>
          <w:tcPr>
            <w:tcW w:w="0" w:type="auto"/>
            <w:tcBorders>
              <w:top w:val="nil"/>
              <w:left w:val="nil"/>
              <w:bottom w:val="single" w:sz="4" w:space="0" w:color="auto"/>
              <w:right w:val="single" w:sz="4" w:space="0" w:color="auto"/>
            </w:tcBorders>
            <w:shd w:val="clear" w:color="auto" w:fill="auto"/>
            <w:noWrap/>
            <w:vAlign w:val="bottom"/>
            <w:hideMark/>
          </w:tcPr>
          <w:p w14:paraId="1F8CAD5E" w14:textId="77777777" w:rsidR="00E009B7" w:rsidRPr="00E009B7" w:rsidRDefault="00E009B7" w:rsidP="00E009B7">
            <w:pPr>
              <w:spacing w:after="0" w:line="240" w:lineRule="auto"/>
              <w:jc w:val="right"/>
              <w:rPr>
                <w:rFonts w:ascii="Times New Roman" w:eastAsia="Times New Roman" w:hAnsi="Times New Roman" w:cs="Times New Roman"/>
                <w:color w:val="000000"/>
              </w:rPr>
            </w:pPr>
            <w:r w:rsidRPr="00E009B7">
              <w:rPr>
                <w:rFonts w:ascii="Times New Roman" w:eastAsia="Times New Roman" w:hAnsi="Times New Roman" w:cs="Times New Roman"/>
                <w:color w:val="000000"/>
              </w:rPr>
              <w:t xml:space="preserve">            525,372 </w:t>
            </w:r>
          </w:p>
        </w:tc>
      </w:tr>
    </w:tbl>
    <w:p w14:paraId="41B73256" w14:textId="77777777" w:rsidR="004C1754" w:rsidRPr="00AC2BC7" w:rsidRDefault="004C1754" w:rsidP="00FC2B32">
      <w:pPr>
        <w:rPr>
          <w:rFonts w:ascii="Times New Roman" w:hAnsi="Times New Roman" w:cs="Times New Roman"/>
        </w:rPr>
      </w:pPr>
    </w:p>
    <w:p w14:paraId="1B0E6B41" w14:textId="77777777" w:rsidR="00BA7FC9" w:rsidRPr="00AC2BC7" w:rsidRDefault="00EC60AD" w:rsidP="00121172">
      <w:pPr>
        <w:keepNext/>
        <w:spacing w:line="240" w:lineRule="auto"/>
        <w:rPr>
          <w:rFonts w:ascii="Times New Roman" w:hAnsi="Times New Roman" w:cs="Times New Roman"/>
          <w:b/>
        </w:rPr>
      </w:pPr>
      <w:r w:rsidRPr="00AC2BC7">
        <w:rPr>
          <w:rFonts w:ascii="Times New Roman" w:hAnsi="Times New Roman" w:cs="Times New Roman"/>
          <w:b/>
        </w:rPr>
        <w:t>Survey Response</w:t>
      </w:r>
    </w:p>
    <w:p w14:paraId="13357016" w14:textId="67FA3024" w:rsidR="008A1F53" w:rsidRPr="00AC2BC7" w:rsidRDefault="008A1F53" w:rsidP="00121172">
      <w:pPr>
        <w:spacing w:line="240" w:lineRule="auto"/>
        <w:rPr>
          <w:rFonts w:ascii="Times New Roman" w:hAnsi="Times New Roman" w:cs="Times New Roman"/>
        </w:rPr>
      </w:pPr>
      <w:r w:rsidRPr="00AC2BC7">
        <w:rPr>
          <w:rFonts w:ascii="Times New Roman" w:hAnsi="Times New Roman" w:cs="Times New Roman"/>
        </w:rPr>
        <w:t xml:space="preserve">The table below </w:t>
      </w:r>
      <w:r w:rsidR="008B4B6A" w:rsidRPr="00AC2BC7">
        <w:rPr>
          <w:rFonts w:ascii="Times New Roman" w:hAnsi="Times New Roman" w:cs="Times New Roman"/>
        </w:rPr>
        <w:t xml:space="preserve">shows </w:t>
      </w:r>
      <w:r w:rsidRPr="00AC2BC7">
        <w:rPr>
          <w:rFonts w:ascii="Times New Roman" w:hAnsi="Times New Roman" w:cs="Times New Roman"/>
        </w:rPr>
        <w:t xml:space="preserve">the number of responses, the number of different service providers, and the number of different census tracts within each stratum for survey responses requested, received, and received </w:t>
      </w:r>
      <w:r w:rsidR="00A60537" w:rsidRPr="00AC2BC7">
        <w:rPr>
          <w:rFonts w:ascii="Times New Roman" w:hAnsi="Times New Roman" w:cs="Times New Roman"/>
        </w:rPr>
        <w:t>indicating service was</w:t>
      </w:r>
      <w:r w:rsidRPr="00AC2BC7">
        <w:rPr>
          <w:rFonts w:ascii="Times New Roman" w:hAnsi="Times New Roman" w:cs="Times New Roman"/>
        </w:rPr>
        <w:t xml:space="preserve"> provided</w:t>
      </w:r>
      <w:r w:rsidR="00D4766A" w:rsidRPr="00AC2BC7">
        <w:rPr>
          <w:rFonts w:ascii="Times New Roman" w:hAnsi="Times New Roman" w:cs="Times New Roman"/>
        </w:rPr>
        <w:t>.</w:t>
      </w:r>
      <w:r w:rsidR="003C4DFA" w:rsidRPr="00AC2BC7">
        <w:rPr>
          <w:rStyle w:val="FootnoteReference"/>
          <w:rFonts w:ascii="Times New Roman" w:hAnsi="Times New Roman" w:cs="Times New Roman"/>
        </w:rPr>
        <w:footnoteReference w:id="9"/>
      </w:r>
    </w:p>
    <w:tbl>
      <w:tblPr>
        <w:tblW w:w="0" w:type="auto"/>
        <w:jc w:val="center"/>
        <w:tblLook w:val="04A0" w:firstRow="1" w:lastRow="0" w:firstColumn="1" w:lastColumn="0" w:noHBand="0" w:noVBand="1"/>
      </w:tblPr>
      <w:tblGrid>
        <w:gridCol w:w="1157"/>
        <w:gridCol w:w="1726"/>
        <w:gridCol w:w="1145"/>
        <w:gridCol w:w="1774"/>
        <w:gridCol w:w="1457"/>
      </w:tblGrid>
      <w:tr w:rsidR="00ED379F" w:rsidRPr="00ED379F" w14:paraId="0F4E5889" w14:textId="77777777" w:rsidTr="00ED379F">
        <w:trPr>
          <w:trHeight w:val="315"/>
          <w:jc w:val="center"/>
        </w:trPr>
        <w:tc>
          <w:tcPr>
            <w:tcW w:w="0" w:type="auto"/>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520E02DC"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Stratum</w:t>
            </w:r>
          </w:p>
        </w:tc>
        <w:tc>
          <w:tcPr>
            <w:tcW w:w="0" w:type="auto"/>
            <w:tcBorders>
              <w:top w:val="single" w:sz="8" w:space="0" w:color="auto"/>
              <w:left w:val="nil"/>
              <w:bottom w:val="double" w:sz="6" w:space="0" w:color="auto"/>
              <w:right w:val="single" w:sz="8" w:space="0" w:color="auto"/>
            </w:tcBorders>
            <w:shd w:val="clear" w:color="auto" w:fill="auto"/>
            <w:noWrap/>
            <w:vAlign w:val="center"/>
            <w:hideMark/>
          </w:tcPr>
          <w:p w14:paraId="7E9099B2"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Survey Status</w:t>
            </w:r>
          </w:p>
        </w:tc>
        <w:tc>
          <w:tcPr>
            <w:tcW w:w="0" w:type="auto"/>
            <w:tcBorders>
              <w:top w:val="single" w:sz="8" w:space="0" w:color="auto"/>
              <w:left w:val="nil"/>
              <w:bottom w:val="double" w:sz="6" w:space="0" w:color="auto"/>
              <w:right w:val="single" w:sz="8" w:space="0" w:color="auto"/>
            </w:tcBorders>
            <w:shd w:val="clear" w:color="auto" w:fill="auto"/>
            <w:noWrap/>
            <w:vAlign w:val="center"/>
            <w:hideMark/>
          </w:tcPr>
          <w:p w14:paraId="0C653176"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Responses</w:t>
            </w:r>
          </w:p>
        </w:tc>
        <w:tc>
          <w:tcPr>
            <w:tcW w:w="0" w:type="auto"/>
            <w:tcBorders>
              <w:top w:val="single" w:sz="8" w:space="0" w:color="auto"/>
              <w:left w:val="nil"/>
              <w:bottom w:val="double" w:sz="6" w:space="0" w:color="auto"/>
              <w:right w:val="single" w:sz="8" w:space="0" w:color="auto"/>
            </w:tcBorders>
            <w:shd w:val="clear" w:color="auto" w:fill="auto"/>
            <w:noWrap/>
            <w:vAlign w:val="center"/>
            <w:hideMark/>
          </w:tcPr>
          <w:p w14:paraId="21272FA5"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Service Providers</w:t>
            </w:r>
          </w:p>
        </w:tc>
        <w:tc>
          <w:tcPr>
            <w:tcW w:w="0" w:type="auto"/>
            <w:tcBorders>
              <w:top w:val="single" w:sz="8" w:space="0" w:color="auto"/>
              <w:left w:val="nil"/>
              <w:bottom w:val="double" w:sz="6" w:space="0" w:color="auto"/>
              <w:right w:val="single" w:sz="8" w:space="0" w:color="auto"/>
            </w:tcBorders>
            <w:shd w:val="clear" w:color="auto" w:fill="auto"/>
            <w:noWrap/>
            <w:vAlign w:val="center"/>
            <w:hideMark/>
          </w:tcPr>
          <w:p w14:paraId="775B941F"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Census Tracts</w:t>
            </w:r>
          </w:p>
        </w:tc>
      </w:tr>
      <w:tr w:rsidR="00ED379F" w:rsidRPr="00ED379F" w14:paraId="1F19649C" w14:textId="77777777" w:rsidTr="00ED379F">
        <w:trPr>
          <w:trHeight w:val="330"/>
          <w:jc w:val="center"/>
        </w:trPr>
        <w:tc>
          <w:tcPr>
            <w:tcW w:w="0" w:type="auto"/>
            <w:vMerge w:val="restart"/>
            <w:tcBorders>
              <w:top w:val="nil"/>
              <w:left w:val="single" w:sz="8" w:space="0" w:color="auto"/>
              <w:bottom w:val="double" w:sz="6" w:space="0" w:color="000000"/>
              <w:right w:val="single" w:sz="8" w:space="0" w:color="auto"/>
            </w:tcBorders>
            <w:shd w:val="clear" w:color="auto" w:fill="auto"/>
            <w:noWrap/>
            <w:vAlign w:val="center"/>
            <w:hideMark/>
          </w:tcPr>
          <w:p w14:paraId="4BA72934"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ILEC</w:t>
            </w:r>
          </w:p>
        </w:tc>
        <w:tc>
          <w:tcPr>
            <w:tcW w:w="0" w:type="auto"/>
            <w:tcBorders>
              <w:top w:val="nil"/>
              <w:left w:val="nil"/>
              <w:bottom w:val="single" w:sz="8" w:space="0" w:color="auto"/>
              <w:right w:val="single" w:sz="8" w:space="0" w:color="auto"/>
            </w:tcBorders>
            <w:shd w:val="clear" w:color="auto" w:fill="auto"/>
            <w:noWrap/>
            <w:vAlign w:val="center"/>
            <w:hideMark/>
          </w:tcPr>
          <w:p w14:paraId="66E49AE3"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Requested</w:t>
            </w:r>
          </w:p>
        </w:tc>
        <w:tc>
          <w:tcPr>
            <w:tcW w:w="0" w:type="auto"/>
            <w:tcBorders>
              <w:top w:val="nil"/>
              <w:left w:val="nil"/>
              <w:bottom w:val="single" w:sz="8" w:space="0" w:color="auto"/>
              <w:right w:val="single" w:sz="8" w:space="0" w:color="auto"/>
            </w:tcBorders>
            <w:shd w:val="clear" w:color="auto" w:fill="auto"/>
            <w:noWrap/>
            <w:vAlign w:val="center"/>
            <w:hideMark/>
          </w:tcPr>
          <w:p w14:paraId="6B16DEFD"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208</w:t>
            </w:r>
          </w:p>
        </w:tc>
        <w:tc>
          <w:tcPr>
            <w:tcW w:w="0" w:type="auto"/>
            <w:tcBorders>
              <w:top w:val="nil"/>
              <w:left w:val="nil"/>
              <w:bottom w:val="single" w:sz="8" w:space="0" w:color="auto"/>
              <w:right w:val="single" w:sz="8" w:space="0" w:color="auto"/>
            </w:tcBorders>
            <w:shd w:val="clear" w:color="auto" w:fill="auto"/>
            <w:noWrap/>
            <w:vAlign w:val="center"/>
            <w:hideMark/>
          </w:tcPr>
          <w:p w14:paraId="677578A8"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25</w:t>
            </w:r>
          </w:p>
        </w:tc>
        <w:tc>
          <w:tcPr>
            <w:tcW w:w="0" w:type="auto"/>
            <w:tcBorders>
              <w:top w:val="nil"/>
              <w:left w:val="nil"/>
              <w:bottom w:val="single" w:sz="8" w:space="0" w:color="auto"/>
              <w:right w:val="single" w:sz="8" w:space="0" w:color="auto"/>
            </w:tcBorders>
            <w:shd w:val="clear" w:color="auto" w:fill="auto"/>
            <w:noWrap/>
            <w:vAlign w:val="center"/>
            <w:hideMark/>
          </w:tcPr>
          <w:p w14:paraId="20A2C2D7"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208</w:t>
            </w:r>
          </w:p>
        </w:tc>
      </w:tr>
      <w:tr w:rsidR="00ED379F" w:rsidRPr="00ED379F" w14:paraId="1A3241CB" w14:textId="77777777" w:rsidTr="00ED379F">
        <w:trPr>
          <w:trHeight w:val="315"/>
          <w:jc w:val="center"/>
        </w:trPr>
        <w:tc>
          <w:tcPr>
            <w:tcW w:w="0" w:type="auto"/>
            <w:vMerge/>
            <w:tcBorders>
              <w:top w:val="nil"/>
              <w:left w:val="single" w:sz="8" w:space="0" w:color="auto"/>
              <w:bottom w:val="double" w:sz="6" w:space="0" w:color="000000"/>
              <w:right w:val="single" w:sz="8" w:space="0" w:color="auto"/>
            </w:tcBorders>
            <w:vAlign w:val="center"/>
            <w:hideMark/>
          </w:tcPr>
          <w:p w14:paraId="2C35787C" w14:textId="77777777" w:rsidR="00ED379F" w:rsidRPr="00ED379F" w:rsidRDefault="00ED379F" w:rsidP="00ED379F">
            <w:pPr>
              <w:spacing w:after="0" w:line="240" w:lineRule="auto"/>
              <w:rPr>
                <w:rFonts w:ascii="Times New Roman" w:eastAsia="Times New Roman" w:hAnsi="Times New Roman" w:cs="Times New Roman"/>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1A5BEF49"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Received</w:t>
            </w:r>
          </w:p>
        </w:tc>
        <w:tc>
          <w:tcPr>
            <w:tcW w:w="0" w:type="auto"/>
            <w:tcBorders>
              <w:top w:val="nil"/>
              <w:left w:val="nil"/>
              <w:bottom w:val="single" w:sz="8" w:space="0" w:color="auto"/>
              <w:right w:val="single" w:sz="8" w:space="0" w:color="auto"/>
            </w:tcBorders>
            <w:shd w:val="clear" w:color="auto" w:fill="auto"/>
            <w:noWrap/>
            <w:vAlign w:val="bottom"/>
            <w:hideMark/>
          </w:tcPr>
          <w:p w14:paraId="53F78CE0"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207</w:t>
            </w:r>
          </w:p>
        </w:tc>
        <w:tc>
          <w:tcPr>
            <w:tcW w:w="0" w:type="auto"/>
            <w:tcBorders>
              <w:top w:val="nil"/>
              <w:left w:val="nil"/>
              <w:bottom w:val="single" w:sz="8" w:space="0" w:color="auto"/>
              <w:right w:val="single" w:sz="8" w:space="0" w:color="auto"/>
            </w:tcBorders>
            <w:shd w:val="clear" w:color="auto" w:fill="auto"/>
            <w:noWrap/>
            <w:vAlign w:val="bottom"/>
            <w:hideMark/>
          </w:tcPr>
          <w:p w14:paraId="5AE4408B"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24</w:t>
            </w:r>
          </w:p>
        </w:tc>
        <w:tc>
          <w:tcPr>
            <w:tcW w:w="0" w:type="auto"/>
            <w:tcBorders>
              <w:top w:val="nil"/>
              <w:left w:val="nil"/>
              <w:bottom w:val="single" w:sz="8" w:space="0" w:color="auto"/>
              <w:right w:val="single" w:sz="8" w:space="0" w:color="auto"/>
            </w:tcBorders>
            <w:shd w:val="clear" w:color="auto" w:fill="auto"/>
            <w:noWrap/>
            <w:vAlign w:val="bottom"/>
            <w:hideMark/>
          </w:tcPr>
          <w:p w14:paraId="018D062B"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207</w:t>
            </w:r>
          </w:p>
        </w:tc>
      </w:tr>
      <w:tr w:rsidR="00ED379F" w:rsidRPr="00ED379F" w14:paraId="1FF4C537" w14:textId="77777777" w:rsidTr="00ED379F">
        <w:trPr>
          <w:trHeight w:val="315"/>
          <w:jc w:val="center"/>
        </w:trPr>
        <w:tc>
          <w:tcPr>
            <w:tcW w:w="0" w:type="auto"/>
            <w:vMerge/>
            <w:tcBorders>
              <w:top w:val="nil"/>
              <w:left w:val="single" w:sz="8" w:space="0" w:color="auto"/>
              <w:bottom w:val="double" w:sz="6" w:space="0" w:color="000000"/>
              <w:right w:val="single" w:sz="8" w:space="0" w:color="auto"/>
            </w:tcBorders>
            <w:vAlign w:val="center"/>
            <w:hideMark/>
          </w:tcPr>
          <w:p w14:paraId="1512B5A2" w14:textId="77777777" w:rsidR="00ED379F" w:rsidRPr="00ED379F" w:rsidRDefault="00ED379F" w:rsidP="00ED379F">
            <w:pPr>
              <w:spacing w:after="0" w:line="240" w:lineRule="auto"/>
              <w:rPr>
                <w:rFonts w:ascii="Times New Roman" w:eastAsia="Times New Roman" w:hAnsi="Times New Roman" w:cs="Times New Roman"/>
                <w:color w:val="000000"/>
              </w:rPr>
            </w:pPr>
          </w:p>
        </w:tc>
        <w:tc>
          <w:tcPr>
            <w:tcW w:w="0" w:type="auto"/>
            <w:tcBorders>
              <w:top w:val="nil"/>
              <w:left w:val="nil"/>
              <w:bottom w:val="double" w:sz="6" w:space="0" w:color="auto"/>
              <w:right w:val="single" w:sz="8" w:space="0" w:color="auto"/>
            </w:tcBorders>
            <w:shd w:val="clear" w:color="auto" w:fill="auto"/>
            <w:noWrap/>
            <w:vAlign w:val="center"/>
            <w:hideMark/>
          </w:tcPr>
          <w:p w14:paraId="09CEBF44"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Service Provided</w:t>
            </w:r>
          </w:p>
        </w:tc>
        <w:tc>
          <w:tcPr>
            <w:tcW w:w="0" w:type="auto"/>
            <w:tcBorders>
              <w:top w:val="nil"/>
              <w:left w:val="nil"/>
              <w:bottom w:val="double" w:sz="6" w:space="0" w:color="auto"/>
              <w:right w:val="single" w:sz="8" w:space="0" w:color="auto"/>
            </w:tcBorders>
            <w:shd w:val="clear" w:color="auto" w:fill="auto"/>
            <w:noWrap/>
            <w:vAlign w:val="center"/>
            <w:hideMark/>
          </w:tcPr>
          <w:p w14:paraId="5B8C4066"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207</w:t>
            </w:r>
          </w:p>
        </w:tc>
        <w:tc>
          <w:tcPr>
            <w:tcW w:w="0" w:type="auto"/>
            <w:tcBorders>
              <w:top w:val="nil"/>
              <w:left w:val="nil"/>
              <w:bottom w:val="double" w:sz="6" w:space="0" w:color="auto"/>
              <w:right w:val="single" w:sz="8" w:space="0" w:color="auto"/>
            </w:tcBorders>
            <w:shd w:val="clear" w:color="auto" w:fill="auto"/>
            <w:noWrap/>
            <w:vAlign w:val="center"/>
            <w:hideMark/>
          </w:tcPr>
          <w:p w14:paraId="2E8F5D17"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24</w:t>
            </w:r>
          </w:p>
        </w:tc>
        <w:tc>
          <w:tcPr>
            <w:tcW w:w="0" w:type="auto"/>
            <w:tcBorders>
              <w:top w:val="nil"/>
              <w:left w:val="nil"/>
              <w:bottom w:val="double" w:sz="6" w:space="0" w:color="auto"/>
              <w:right w:val="single" w:sz="8" w:space="0" w:color="auto"/>
            </w:tcBorders>
            <w:shd w:val="clear" w:color="auto" w:fill="auto"/>
            <w:noWrap/>
            <w:vAlign w:val="center"/>
            <w:hideMark/>
          </w:tcPr>
          <w:p w14:paraId="4CF2F6D9"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207</w:t>
            </w:r>
          </w:p>
        </w:tc>
      </w:tr>
      <w:tr w:rsidR="00ED379F" w:rsidRPr="00ED379F" w14:paraId="089EC6A7" w14:textId="77777777" w:rsidTr="00ED379F">
        <w:trPr>
          <w:trHeight w:val="330"/>
          <w:jc w:val="center"/>
        </w:trPr>
        <w:tc>
          <w:tcPr>
            <w:tcW w:w="0" w:type="auto"/>
            <w:vMerge w:val="restart"/>
            <w:tcBorders>
              <w:top w:val="nil"/>
              <w:left w:val="single" w:sz="8" w:space="0" w:color="auto"/>
              <w:bottom w:val="double" w:sz="6" w:space="0" w:color="000000"/>
              <w:right w:val="single" w:sz="8" w:space="0" w:color="auto"/>
            </w:tcBorders>
            <w:shd w:val="clear" w:color="auto" w:fill="auto"/>
            <w:noWrap/>
            <w:vAlign w:val="center"/>
            <w:hideMark/>
          </w:tcPr>
          <w:p w14:paraId="0C3E956B"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Non-ILEC</w:t>
            </w:r>
          </w:p>
        </w:tc>
        <w:tc>
          <w:tcPr>
            <w:tcW w:w="0" w:type="auto"/>
            <w:tcBorders>
              <w:top w:val="nil"/>
              <w:left w:val="nil"/>
              <w:bottom w:val="single" w:sz="8" w:space="0" w:color="auto"/>
              <w:right w:val="single" w:sz="8" w:space="0" w:color="auto"/>
            </w:tcBorders>
            <w:shd w:val="clear" w:color="auto" w:fill="auto"/>
            <w:noWrap/>
            <w:vAlign w:val="center"/>
            <w:hideMark/>
          </w:tcPr>
          <w:p w14:paraId="57F6D375"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Requested</w:t>
            </w:r>
          </w:p>
        </w:tc>
        <w:tc>
          <w:tcPr>
            <w:tcW w:w="0" w:type="auto"/>
            <w:tcBorders>
              <w:top w:val="nil"/>
              <w:left w:val="nil"/>
              <w:bottom w:val="single" w:sz="8" w:space="0" w:color="auto"/>
              <w:right w:val="single" w:sz="8" w:space="0" w:color="auto"/>
            </w:tcBorders>
            <w:shd w:val="clear" w:color="auto" w:fill="auto"/>
            <w:noWrap/>
            <w:vAlign w:val="center"/>
            <w:hideMark/>
          </w:tcPr>
          <w:p w14:paraId="331B0213"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292</w:t>
            </w:r>
          </w:p>
        </w:tc>
        <w:tc>
          <w:tcPr>
            <w:tcW w:w="0" w:type="auto"/>
            <w:tcBorders>
              <w:top w:val="nil"/>
              <w:left w:val="nil"/>
              <w:bottom w:val="single" w:sz="8" w:space="0" w:color="auto"/>
              <w:right w:val="single" w:sz="8" w:space="0" w:color="auto"/>
            </w:tcBorders>
            <w:shd w:val="clear" w:color="auto" w:fill="auto"/>
            <w:noWrap/>
            <w:vAlign w:val="center"/>
            <w:hideMark/>
          </w:tcPr>
          <w:p w14:paraId="2E2B7330"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44</w:t>
            </w:r>
          </w:p>
        </w:tc>
        <w:tc>
          <w:tcPr>
            <w:tcW w:w="0" w:type="auto"/>
            <w:tcBorders>
              <w:top w:val="nil"/>
              <w:left w:val="nil"/>
              <w:bottom w:val="single" w:sz="8" w:space="0" w:color="auto"/>
              <w:right w:val="single" w:sz="8" w:space="0" w:color="auto"/>
            </w:tcBorders>
            <w:shd w:val="clear" w:color="auto" w:fill="auto"/>
            <w:noWrap/>
            <w:vAlign w:val="center"/>
            <w:hideMark/>
          </w:tcPr>
          <w:p w14:paraId="53EEBB93"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292</w:t>
            </w:r>
          </w:p>
        </w:tc>
      </w:tr>
      <w:tr w:rsidR="00ED379F" w:rsidRPr="00ED379F" w14:paraId="1A608A67" w14:textId="77777777" w:rsidTr="00ED379F">
        <w:trPr>
          <w:trHeight w:val="315"/>
          <w:jc w:val="center"/>
        </w:trPr>
        <w:tc>
          <w:tcPr>
            <w:tcW w:w="0" w:type="auto"/>
            <w:vMerge/>
            <w:tcBorders>
              <w:top w:val="nil"/>
              <w:left w:val="single" w:sz="8" w:space="0" w:color="auto"/>
              <w:bottom w:val="double" w:sz="6" w:space="0" w:color="000000"/>
              <w:right w:val="single" w:sz="8" w:space="0" w:color="auto"/>
            </w:tcBorders>
            <w:vAlign w:val="center"/>
            <w:hideMark/>
          </w:tcPr>
          <w:p w14:paraId="4E37BCC0" w14:textId="77777777" w:rsidR="00ED379F" w:rsidRPr="00ED379F" w:rsidRDefault="00ED379F" w:rsidP="00ED379F">
            <w:pPr>
              <w:spacing w:after="0" w:line="240" w:lineRule="auto"/>
              <w:rPr>
                <w:rFonts w:ascii="Times New Roman" w:eastAsia="Times New Roman" w:hAnsi="Times New Roman" w:cs="Times New Roman"/>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4B50E18C"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Received</w:t>
            </w:r>
          </w:p>
        </w:tc>
        <w:tc>
          <w:tcPr>
            <w:tcW w:w="0" w:type="auto"/>
            <w:tcBorders>
              <w:top w:val="nil"/>
              <w:left w:val="nil"/>
              <w:bottom w:val="single" w:sz="8" w:space="0" w:color="auto"/>
              <w:right w:val="single" w:sz="8" w:space="0" w:color="auto"/>
            </w:tcBorders>
            <w:shd w:val="clear" w:color="auto" w:fill="auto"/>
            <w:noWrap/>
            <w:vAlign w:val="center"/>
            <w:hideMark/>
          </w:tcPr>
          <w:p w14:paraId="78E9A2DB"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278</w:t>
            </w:r>
          </w:p>
        </w:tc>
        <w:tc>
          <w:tcPr>
            <w:tcW w:w="0" w:type="auto"/>
            <w:tcBorders>
              <w:top w:val="nil"/>
              <w:left w:val="nil"/>
              <w:bottom w:val="single" w:sz="8" w:space="0" w:color="auto"/>
              <w:right w:val="single" w:sz="8" w:space="0" w:color="auto"/>
            </w:tcBorders>
            <w:shd w:val="clear" w:color="auto" w:fill="auto"/>
            <w:noWrap/>
            <w:vAlign w:val="center"/>
            <w:hideMark/>
          </w:tcPr>
          <w:p w14:paraId="36199416"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38</w:t>
            </w:r>
          </w:p>
        </w:tc>
        <w:tc>
          <w:tcPr>
            <w:tcW w:w="0" w:type="auto"/>
            <w:tcBorders>
              <w:top w:val="nil"/>
              <w:left w:val="nil"/>
              <w:bottom w:val="single" w:sz="8" w:space="0" w:color="auto"/>
              <w:right w:val="single" w:sz="8" w:space="0" w:color="auto"/>
            </w:tcBorders>
            <w:shd w:val="clear" w:color="auto" w:fill="auto"/>
            <w:noWrap/>
            <w:vAlign w:val="center"/>
            <w:hideMark/>
          </w:tcPr>
          <w:p w14:paraId="0E52D275"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278</w:t>
            </w:r>
          </w:p>
        </w:tc>
      </w:tr>
      <w:tr w:rsidR="00ED379F" w:rsidRPr="00ED379F" w14:paraId="294B56DF" w14:textId="77777777" w:rsidTr="00ED379F">
        <w:trPr>
          <w:trHeight w:val="315"/>
          <w:jc w:val="center"/>
        </w:trPr>
        <w:tc>
          <w:tcPr>
            <w:tcW w:w="0" w:type="auto"/>
            <w:vMerge/>
            <w:tcBorders>
              <w:top w:val="nil"/>
              <w:left w:val="single" w:sz="8" w:space="0" w:color="auto"/>
              <w:bottom w:val="double" w:sz="6" w:space="0" w:color="000000"/>
              <w:right w:val="single" w:sz="8" w:space="0" w:color="auto"/>
            </w:tcBorders>
            <w:vAlign w:val="center"/>
            <w:hideMark/>
          </w:tcPr>
          <w:p w14:paraId="04AA583B" w14:textId="77777777" w:rsidR="00ED379F" w:rsidRPr="00ED379F" w:rsidRDefault="00ED379F" w:rsidP="00ED379F">
            <w:pPr>
              <w:spacing w:after="0" w:line="240" w:lineRule="auto"/>
              <w:rPr>
                <w:rFonts w:ascii="Times New Roman" w:eastAsia="Times New Roman" w:hAnsi="Times New Roman" w:cs="Times New Roman"/>
                <w:color w:val="000000"/>
              </w:rPr>
            </w:pPr>
          </w:p>
        </w:tc>
        <w:tc>
          <w:tcPr>
            <w:tcW w:w="0" w:type="auto"/>
            <w:tcBorders>
              <w:top w:val="nil"/>
              <w:left w:val="nil"/>
              <w:bottom w:val="double" w:sz="6" w:space="0" w:color="auto"/>
              <w:right w:val="single" w:sz="8" w:space="0" w:color="auto"/>
            </w:tcBorders>
            <w:shd w:val="clear" w:color="auto" w:fill="auto"/>
            <w:noWrap/>
            <w:vAlign w:val="center"/>
            <w:hideMark/>
          </w:tcPr>
          <w:p w14:paraId="16077580"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Service Provided</w:t>
            </w:r>
          </w:p>
        </w:tc>
        <w:tc>
          <w:tcPr>
            <w:tcW w:w="0" w:type="auto"/>
            <w:tcBorders>
              <w:top w:val="nil"/>
              <w:left w:val="nil"/>
              <w:bottom w:val="double" w:sz="6" w:space="0" w:color="auto"/>
              <w:right w:val="single" w:sz="8" w:space="0" w:color="auto"/>
            </w:tcBorders>
            <w:shd w:val="clear" w:color="auto" w:fill="auto"/>
            <w:noWrap/>
            <w:vAlign w:val="center"/>
            <w:hideMark/>
          </w:tcPr>
          <w:p w14:paraId="37336D77"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216</w:t>
            </w:r>
          </w:p>
        </w:tc>
        <w:tc>
          <w:tcPr>
            <w:tcW w:w="0" w:type="auto"/>
            <w:tcBorders>
              <w:top w:val="nil"/>
              <w:left w:val="nil"/>
              <w:bottom w:val="double" w:sz="6" w:space="0" w:color="auto"/>
              <w:right w:val="single" w:sz="8" w:space="0" w:color="auto"/>
            </w:tcBorders>
            <w:shd w:val="clear" w:color="auto" w:fill="auto"/>
            <w:noWrap/>
            <w:vAlign w:val="center"/>
            <w:hideMark/>
          </w:tcPr>
          <w:p w14:paraId="4AFB5063"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31</w:t>
            </w:r>
          </w:p>
        </w:tc>
        <w:tc>
          <w:tcPr>
            <w:tcW w:w="0" w:type="auto"/>
            <w:tcBorders>
              <w:top w:val="nil"/>
              <w:left w:val="nil"/>
              <w:bottom w:val="double" w:sz="6" w:space="0" w:color="auto"/>
              <w:right w:val="single" w:sz="8" w:space="0" w:color="auto"/>
            </w:tcBorders>
            <w:shd w:val="clear" w:color="auto" w:fill="auto"/>
            <w:noWrap/>
            <w:vAlign w:val="center"/>
            <w:hideMark/>
          </w:tcPr>
          <w:p w14:paraId="2647BDDC"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216</w:t>
            </w:r>
          </w:p>
        </w:tc>
      </w:tr>
      <w:tr w:rsidR="00ED379F" w:rsidRPr="00ED379F" w14:paraId="676BEB4D" w14:textId="77777777" w:rsidTr="00ED379F">
        <w:trPr>
          <w:trHeight w:val="330"/>
          <w:jc w:val="center"/>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A507A75"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All</w:t>
            </w:r>
          </w:p>
        </w:tc>
        <w:tc>
          <w:tcPr>
            <w:tcW w:w="0" w:type="auto"/>
            <w:tcBorders>
              <w:top w:val="nil"/>
              <w:left w:val="nil"/>
              <w:bottom w:val="single" w:sz="8" w:space="0" w:color="auto"/>
              <w:right w:val="single" w:sz="8" w:space="0" w:color="auto"/>
            </w:tcBorders>
            <w:shd w:val="clear" w:color="auto" w:fill="auto"/>
            <w:noWrap/>
            <w:vAlign w:val="center"/>
            <w:hideMark/>
          </w:tcPr>
          <w:p w14:paraId="0C76C55B"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Requested</w:t>
            </w:r>
          </w:p>
        </w:tc>
        <w:tc>
          <w:tcPr>
            <w:tcW w:w="0" w:type="auto"/>
            <w:tcBorders>
              <w:top w:val="nil"/>
              <w:left w:val="nil"/>
              <w:bottom w:val="single" w:sz="8" w:space="0" w:color="auto"/>
              <w:right w:val="single" w:sz="8" w:space="0" w:color="auto"/>
            </w:tcBorders>
            <w:shd w:val="clear" w:color="auto" w:fill="auto"/>
            <w:noWrap/>
            <w:vAlign w:val="center"/>
            <w:hideMark/>
          </w:tcPr>
          <w:p w14:paraId="437DE849"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500</w:t>
            </w:r>
          </w:p>
        </w:tc>
        <w:tc>
          <w:tcPr>
            <w:tcW w:w="0" w:type="auto"/>
            <w:tcBorders>
              <w:top w:val="nil"/>
              <w:left w:val="nil"/>
              <w:bottom w:val="single" w:sz="8" w:space="0" w:color="auto"/>
              <w:right w:val="single" w:sz="8" w:space="0" w:color="auto"/>
            </w:tcBorders>
            <w:shd w:val="clear" w:color="auto" w:fill="auto"/>
            <w:noWrap/>
            <w:vAlign w:val="center"/>
            <w:hideMark/>
          </w:tcPr>
          <w:p w14:paraId="50450326"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67</w:t>
            </w:r>
          </w:p>
        </w:tc>
        <w:tc>
          <w:tcPr>
            <w:tcW w:w="0" w:type="auto"/>
            <w:tcBorders>
              <w:top w:val="nil"/>
              <w:left w:val="nil"/>
              <w:bottom w:val="single" w:sz="8" w:space="0" w:color="auto"/>
              <w:right w:val="single" w:sz="8" w:space="0" w:color="auto"/>
            </w:tcBorders>
            <w:shd w:val="clear" w:color="auto" w:fill="auto"/>
            <w:noWrap/>
            <w:vAlign w:val="center"/>
            <w:hideMark/>
          </w:tcPr>
          <w:p w14:paraId="02969F5A"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499</w:t>
            </w:r>
          </w:p>
        </w:tc>
      </w:tr>
      <w:tr w:rsidR="00ED379F" w:rsidRPr="00ED379F" w14:paraId="582CFD9B" w14:textId="77777777" w:rsidTr="00ED379F">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322EDE3D" w14:textId="77777777" w:rsidR="00ED379F" w:rsidRPr="00ED379F" w:rsidRDefault="00ED379F" w:rsidP="00ED379F">
            <w:pPr>
              <w:spacing w:after="0" w:line="240" w:lineRule="auto"/>
              <w:rPr>
                <w:rFonts w:ascii="Times New Roman" w:eastAsia="Times New Roman" w:hAnsi="Times New Roman" w:cs="Times New Roman"/>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4B109EE7"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Received</w:t>
            </w:r>
          </w:p>
        </w:tc>
        <w:tc>
          <w:tcPr>
            <w:tcW w:w="0" w:type="auto"/>
            <w:tcBorders>
              <w:top w:val="nil"/>
              <w:left w:val="nil"/>
              <w:bottom w:val="single" w:sz="8" w:space="0" w:color="auto"/>
              <w:right w:val="single" w:sz="8" w:space="0" w:color="auto"/>
            </w:tcBorders>
            <w:shd w:val="clear" w:color="auto" w:fill="auto"/>
            <w:noWrap/>
            <w:vAlign w:val="center"/>
            <w:hideMark/>
          </w:tcPr>
          <w:p w14:paraId="57ACEE77"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486</w:t>
            </w:r>
          </w:p>
        </w:tc>
        <w:tc>
          <w:tcPr>
            <w:tcW w:w="0" w:type="auto"/>
            <w:tcBorders>
              <w:top w:val="nil"/>
              <w:left w:val="nil"/>
              <w:bottom w:val="single" w:sz="8" w:space="0" w:color="auto"/>
              <w:right w:val="single" w:sz="8" w:space="0" w:color="auto"/>
            </w:tcBorders>
            <w:shd w:val="clear" w:color="auto" w:fill="auto"/>
            <w:noWrap/>
            <w:vAlign w:val="center"/>
            <w:hideMark/>
          </w:tcPr>
          <w:p w14:paraId="20453050"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61</w:t>
            </w:r>
          </w:p>
        </w:tc>
        <w:tc>
          <w:tcPr>
            <w:tcW w:w="0" w:type="auto"/>
            <w:tcBorders>
              <w:top w:val="nil"/>
              <w:left w:val="nil"/>
              <w:bottom w:val="single" w:sz="8" w:space="0" w:color="auto"/>
              <w:right w:val="single" w:sz="8" w:space="0" w:color="auto"/>
            </w:tcBorders>
            <w:shd w:val="clear" w:color="auto" w:fill="auto"/>
            <w:noWrap/>
            <w:vAlign w:val="center"/>
            <w:hideMark/>
          </w:tcPr>
          <w:p w14:paraId="195B21D1"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485</w:t>
            </w:r>
          </w:p>
        </w:tc>
      </w:tr>
      <w:tr w:rsidR="00ED379F" w:rsidRPr="00ED379F" w14:paraId="687EEA6B" w14:textId="77777777" w:rsidTr="00ED379F">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14:paraId="510A035E" w14:textId="77777777" w:rsidR="00ED379F" w:rsidRPr="00ED379F" w:rsidRDefault="00ED379F" w:rsidP="00ED379F">
            <w:pPr>
              <w:spacing w:after="0" w:line="240" w:lineRule="auto"/>
              <w:rPr>
                <w:rFonts w:ascii="Times New Roman" w:eastAsia="Times New Roman" w:hAnsi="Times New Roman" w:cs="Times New Roman"/>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083001BF"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Service Provided</w:t>
            </w:r>
          </w:p>
        </w:tc>
        <w:tc>
          <w:tcPr>
            <w:tcW w:w="0" w:type="auto"/>
            <w:tcBorders>
              <w:top w:val="nil"/>
              <w:left w:val="nil"/>
              <w:bottom w:val="single" w:sz="8" w:space="0" w:color="auto"/>
              <w:right w:val="single" w:sz="8" w:space="0" w:color="auto"/>
            </w:tcBorders>
            <w:shd w:val="clear" w:color="auto" w:fill="auto"/>
            <w:noWrap/>
            <w:vAlign w:val="center"/>
            <w:hideMark/>
          </w:tcPr>
          <w:p w14:paraId="34BFB2A3"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423</w:t>
            </w:r>
          </w:p>
        </w:tc>
        <w:tc>
          <w:tcPr>
            <w:tcW w:w="0" w:type="auto"/>
            <w:tcBorders>
              <w:top w:val="nil"/>
              <w:left w:val="nil"/>
              <w:bottom w:val="single" w:sz="8" w:space="0" w:color="auto"/>
              <w:right w:val="single" w:sz="8" w:space="0" w:color="auto"/>
            </w:tcBorders>
            <w:shd w:val="clear" w:color="auto" w:fill="auto"/>
            <w:noWrap/>
            <w:vAlign w:val="center"/>
            <w:hideMark/>
          </w:tcPr>
          <w:p w14:paraId="3934DE2C"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54</w:t>
            </w:r>
          </w:p>
        </w:tc>
        <w:tc>
          <w:tcPr>
            <w:tcW w:w="0" w:type="auto"/>
            <w:tcBorders>
              <w:top w:val="nil"/>
              <w:left w:val="nil"/>
              <w:bottom w:val="single" w:sz="8" w:space="0" w:color="auto"/>
              <w:right w:val="single" w:sz="8" w:space="0" w:color="auto"/>
            </w:tcBorders>
            <w:shd w:val="clear" w:color="auto" w:fill="auto"/>
            <w:noWrap/>
            <w:vAlign w:val="center"/>
            <w:hideMark/>
          </w:tcPr>
          <w:p w14:paraId="3C3C1859"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422</w:t>
            </w:r>
          </w:p>
        </w:tc>
      </w:tr>
    </w:tbl>
    <w:p w14:paraId="778422B8" w14:textId="77777777" w:rsidR="00DD3B2F" w:rsidRPr="00AC2BC7" w:rsidRDefault="00DD3B2F" w:rsidP="00A1665E">
      <w:pPr>
        <w:rPr>
          <w:rFonts w:ascii="Times New Roman" w:hAnsi="Times New Roman" w:cs="Times New Roman"/>
        </w:rPr>
      </w:pPr>
    </w:p>
    <w:p w14:paraId="2334DE4A" w14:textId="3C91DD45" w:rsidR="008372FF" w:rsidRPr="00AC2BC7" w:rsidRDefault="008372FF" w:rsidP="00121172">
      <w:pPr>
        <w:spacing w:line="240" w:lineRule="auto"/>
        <w:rPr>
          <w:rFonts w:ascii="Times New Roman" w:hAnsi="Times New Roman" w:cs="Times New Roman"/>
        </w:rPr>
      </w:pPr>
      <w:r w:rsidRPr="00AC2BC7">
        <w:rPr>
          <w:rFonts w:ascii="Times New Roman" w:hAnsi="Times New Roman" w:cs="Times New Roman"/>
        </w:rPr>
        <w:t xml:space="preserve">Each response </w:t>
      </w:r>
      <w:r w:rsidR="00F472B1" w:rsidRPr="00AC2BC7">
        <w:rPr>
          <w:rFonts w:ascii="Times New Roman" w:hAnsi="Times New Roman" w:cs="Times New Roman"/>
        </w:rPr>
        <w:t>stating</w:t>
      </w:r>
      <w:r w:rsidR="00934E1E" w:rsidRPr="00AC2BC7">
        <w:rPr>
          <w:rFonts w:ascii="Times New Roman" w:hAnsi="Times New Roman" w:cs="Times New Roman"/>
        </w:rPr>
        <w:t xml:space="preserve"> that</w:t>
      </w:r>
      <w:r w:rsidR="00F472B1" w:rsidRPr="00AC2BC7">
        <w:rPr>
          <w:rFonts w:ascii="Times New Roman" w:hAnsi="Times New Roman" w:cs="Times New Roman"/>
        </w:rPr>
        <w:t xml:space="preserve"> </w:t>
      </w:r>
      <w:r w:rsidRPr="00AC2BC7">
        <w:rPr>
          <w:rFonts w:ascii="Times New Roman" w:hAnsi="Times New Roman" w:cs="Times New Roman"/>
        </w:rPr>
        <w:t xml:space="preserve">service </w:t>
      </w:r>
      <w:r w:rsidR="00F472B1" w:rsidRPr="00AC2BC7">
        <w:rPr>
          <w:rFonts w:ascii="Times New Roman" w:hAnsi="Times New Roman" w:cs="Times New Roman"/>
        </w:rPr>
        <w:t xml:space="preserve">was provided </w:t>
      </w:r>
      <w:r w:rsidRPr="00AC2BC7">
        <w:rPr>
          <w:rFonts w:ascii="Times New Roman" w:hAnsi="Times New Roman" w:cs="Times New Roman"/>
        </w:rPr>
        <w:t xml:space="preserve">indicated whether each of the following service types was </w:t>
      </w:r>
      <w:r w:rsidR="00F472B1" w:rsidRPr="00AC2BC7">
        <w:rPr>
          <w:rFonts w:ascii="Times New Roman" w:hAnsi="Times New Roman" w:cs="Times New Roman"/>
        </w:rPr>
        <w:t>offered</w:t>
      </w:r>
      <w:r w:rsidRPr="00AC2BC7">
        <w:rPr>
          <w:rFonts w:ascii="Times New Roman" w:hAnsi="Times New Roman" w:cs="Times New Roman"/>
        </w:rPr>
        <w:t>:</w:t>
      </w:r>
    </w:p>
    <w:p w14:paraId="3E4070A9" w14:textId="77777777" w:rsidR="008372FF" w:rsidRPr="00AC2BC7" w:rsidRDefault="008372FF" w:rsidP="00121172">
      <w:pPr>
        <w:pStyle w:val="ListParagraph"/>
        <w:numPr>
          <w:ilvl w:val="0"/>
          <w:numId w:val="4"/>
        </w:numPr>
        <w:spacing w:line="240" w:lineRule="auto"/>
        <w:rPr>
          <w:rFonts w:ascii="Times New Roman" w:hAnsi="Times New Roman" w:cs="Times New Roman"/>
        </w:rPr>
      </w:pPr>
      <w:r w:rsidRPr="00AC2BC7">
        <w:rPr>
          <w:rFonts w:ascii="Times New Roman" w:hAnsi="Times New Roman" w:cs="Times New Roman"/>
        </w:rPr>
        <w:t>Unlimited or Flat-Rate Local Service</w:t>
      </w:r>
    </w:p>
    <w:p w14:paraId="492ECA94" w14:textId="77777777" w:rsidR="008372FF" w:rsidRPr="00AC2BC7" w:rsidRDefault="008372FF" w:rsidP="00121172">
      <w:pPr>
        <w:pStyle w:val="ListParagraph"/>
        <w:numPr>
          <w:ilvl w:val="0"/>
          <w:numId w:val="4"/>
        </w:numPr>
        <w:spacing w:line="240" w:lineRule="auto"/>
        <w:rPr>
          <w:rFonts w:ascii="Times New Roman" w:hAnsi="Times New Roman" w:cs="Times New Roman"/>
        </w:rPr>
      </w:pPr>
      <w:r w:rsidRPr="00AC2BC7">
        <w:rPr>
          <w:rFonts w:ascii="Times New Roman" w:hAnsi="Times New Roman" w:cs="Times New Roman"/>
        </w:rPr>
        <w:t>Unlimited All-Distance Service</w:t>
      </w:r>
    </w:p>
    <w:p w14:paraId="231E58AC" w14:textId="77777777" w:rsidR="008372FF" w:rsidRPr="00AC2BC7" w:rsidRDefault="008372FF" w:rsidP="00121172">
      <w:pPr>
        <w:pStyle w:val="ListParagraph"/>
        <w:numPr>
          <w:ilvl w:val="0"/>
          <w:numId w:val="4"/>
        </w:numPr>
        <w:spacing w:line="240" w:lineRule="auto"/>
        <w:rPr>
          <w:rFonts w:ascii="Times New Roman" w:hAnsi="Times New Roman" w:cs="Times New Roman"/>
        </w:rPr>
      </w:pPr>
      <w:r w:rsidRPr="00AC2BC7">
        <w:rPr>
          <w:rFonts w:ascii="Times New Roman" w:hAnsi="Times New Roman" w:cs="Times New Roman"/>
        </w:rPr>
        <w:t>Measured or Messaged Local Voice Service</w:t>
      </w:r>
    </w:p>
    <w:p w14:paraId="5E3C8E35" w14:textId="77777777" w:rsidR="006B49FF" w:rsidRPr="00AC2BC7" w:rsidRDefault="008372FF" w:rsidP="00D33C7A">
      <w:pPr>
        <w:keepNext/>
        <w:rPr>
          <w:rFonts w:ascii="Times New Roman" w:hAnsi="Times New Roman" w:cs="Times New Roman"/>
        </w:rPr>
      </w:pPr>
      <w:r w:rsidRPr="00AC2BC7">
        <w:rPr>
          <w:rFonts w:ascii="Times New Roman" w:hAnsi="Times New Roman" w:cs="Times New Roman"/>
        </w:rPr>
        <w:lastRenderedPageBreak/>
        <w:t xml:space="preserve">The table below </w:t>
      </w:r>
      <w:r w:rsidR="0037580B" w:rsidRPr="00AC2BC7">
        <w:rPr>
          <w:rFonts w:ascii="Times New Roman" w:hAnsi="Times New Roman" w:cs="Times New Roman"/>
        </w:rPr>
        <w:t>provides</w:t>
      </w:r>
      <w:r w:rsidRPr="00AC2BC7">
        <w:rPr>
          <w:rFonts w:ascii="Times New Roman" w:hAnsi="Times New Roman" w:cs="Times New Roman"/>
        </w:rPr>
        <w:t xml:space="preserve"> the number of responses </w:t>
      </w:r>
      <w:r w:rsidR="006B49FF" w:rsidRPr="00AC2BC7">
        <w:rPr>
          <w:rFonts w:ascii="Times New Roman" w:hAnsi="Times New Roman" w:cs="Times New Roman"/>
        </w:rPr>
        <w:t xml:space="preserve">with rates </w:t>
      </w:r>
      <w:r w:rsidR="006B7B2F" w:rsidRPr="00AC2BC7">
        <w:rPr>
          <w:rFonts w:ascii="Times New Roman" w:hAnsi="Times New Roman" w:cs="Times New Roman"/>
        </w:rPr>
        <w:t>for</w:t>
      </w:r>
      <w:r w:rsidRPr="00AC2BC7">
        <w:rPr>
          <w:rFonts w:ascii="Times New Roman" w:hAnsi="Times New Roman" w:cs="Times New Roman"/>
        </w:rPr>
        <w:t xml:space="preserve"> each service</w:t>
      </w:r>
      <w:r w:rsidR="00D33C7A" w:rsidRPr="00AC2BC7">
        <w:rPr>
          <w:rFonts w:ascii="Times New Roman" w:hAnsi="Times New Roman" w:cs="Times New Roman"/>
        </w:rPr>
        <w:t xml:space="preserve"> type</w:t>
      </w:r>
      <w:r w:rsidRPr="00AC2BC7">
        <w:rPr>
          <w:rFonts w:ascii="Times New Roman" w:hAnsi="Times New Roman" w:cs="Times New Roman"/>
        </w:rPr>
        <w:t xml:space="preserve"> </w:t>
      </w:r>
      <w:r w:rsidR="006B49FF" w:rsidRPr="00AC2BC7">
        <w:rPr>
          <w:rFonts w:ascii="Times New Roman" w:hAnsi="Times New Roman" w:cs="Times New Roman"/>
        </w:rPr>
        <w:t xml:space="preserve">in each stratum. </w:t>
      </w:r>
    </w:p>
    <w:tbl>
      <w:tblPr>
        <w:tblW w:w="0" w:type="auto"/>
        <w:jc w:val="center"/>
        <w:tblLook w:val="04A0" w:firstRow="1" w:lastRow="0" w:firstColumn="1" w:lastColumn="0" w:noHBand="0" w:noVBand="1"/>
      </w:tblPr>
      <w:tblGrid>
        <w:gridCol w:w="4108"/>
        <w:gridCol w:w="2001"/>
        <w:gridCol w:w="2453"/>
      </w:tblGrid>
      <w:tr w:rsidR="00ED379F" w:rsidRPr="00ED379F" w14:paraId="06CB5105" w14:textId="77777777" w:rsidTr="00ED379F">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192EF"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Service Type</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0FEC766"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ILEC Stratum Rates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9344F1A"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Non-ILEC Stratum Rates</w:t>
            </w:r>
          </w:p>
        </w:tc>
      </w:tr>
      <w:tr w:rsidR="00ED379F" w:rsidRPr="00ED379F" w14:paraId="4E127376" w14:textId="77777777" w:rsidTr="00ED379F">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EFE59D"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Unlimited or Flat-Rate Local Service</w:t>
            </w:r>
          </w:p>
        </w:tc>
        <w:tc>
          <w:tcPr>
            <w:tcW w:w="0" w:type="auto"/>
            <w:tcBorders>
              <w:top w:val="nil"/>
              <w:left w:val="nil"/>
              <w:bottom w:val="single" w:sz="8" w:space="0" w:color="auto"/>
              <w:right w:val="single" w:sz="8" w:space="0" w:color="auto"/>
            </w:tcBorders>
            <w:shd w:val="clear" w:color="auto" w:fill="auto"/>
            <w:noWrap/>
            <w:vAlign w:val="center"/>
            <w:hideMark/>
          </w:tcPr>
          <w:p w14:paraId="4E4885BC"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206</w:t>
            </w:r>
          </w:p>
        </w:tc>
        <w:tc>
          <w:tcPr>
            <w:tcW w:w="0" w:type="auto"/>
            <w:tcBorders>
              <w:top w:val="nil"/>
              <w:left w:val="nil"/>
              <w:bottom w:val="single" w:sz="8" w:space="0" w:color="auto"/>
              <w:right w:val="single" w:sz="8" w:space="0" w:color="auto"/>
            </w:tcBorders>
            <w:shd w:val="clear" w:color="auto" w:fill="auto"/>
            <w:noWrap/>
            <w:vAlign w:val="center"/>
            <w:hideMark/>
          </w:tcPr>
          <w:p w14:paraId="4F3F64FF"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98</w:t>
            </w:r>
          </w:p>
        </w:tc>
      </w:tr>
      <w:tr w:rsidR="00ED379F" w:rsidRPr="00ED379F" w14:paraId="2DADAE1A" w14:textId="77777777" w:rsidTr="00ED379F">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4E45421"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Unlimited All-Distance Service</w:t>
            </w:r>
          </w:p>
        </w:tc>
        <w:tc>
          <w:tcPr>
            <w:tcW w:w="0" w:type="auto"/>
            <w:tcBorders>
              <w:top w:val="nil"/>
              <w:left w:val="nil"/>
              <w:bottom w:val="single" w:sz="8" w:space="0" w:color="auto"/>
              <w:right w:val="single" w:sz="8" w:space="0" w:color="auto"/>
            </w:tcBorders>
            <w:shd w:val="clear" w:color="auto" w:fill="auto"/>
            <w:noWrap/>
            <w:vAlign w:val="center"/>
            <w:hideMark/>
          </w:tcPr>
          <w:p w14:paraId="367C3CCC"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140</w:t>
            </w:r>
          </w:p>
        </w:tc>
        <w:tc>
          <w:tcPr>
            <w:tcW w:w="0" w:type="auto"/>
            <w:tcBorders>
              <w:top w:val="nil"/>
              <w:left w:val="nil"/>
              <w:bottom w:val="single" w:sz="8" w:space="0" w:color="auto"/>
              <w:right w:val="single" w:sz="8" w:space="0" w:color="auto"/>
            </w:tcBorders>
            <w:shd w:val="clear" w:color="auto" w:fill="auto"/>
            <w:noWrap/>
            <w:vAlign w:val="center"/>
            <w:hideMark/>
          </w:tcPr>
          <w:p w14:paraId="57352A89"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188</w:t>
            </w:r>
          </w:p>
        </w:tc>
      </w:tr>
      <w:tr w:rsidR="00ED379F" w:rsidRPr="00ED379F" w14:paraId="49634C96" w14:textId="77777777" w:rsidTr="00ED379F">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AFCD73C"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Measured or Messaged Local Voice Service</w:t>
            </w:r>
          </w:p>
        </w:tc>
        <w:tc>
          <w:tcPr>
            <w:tcW w:w="0" w:type="auto"/>
            <w:tcBorders>
              <w:top w:val="nil"/>
              <w:left w:val="nil"/>
              <w:bottom w:val="single" w:sz="8" w:space="0" w:color="auto"/>
              <w:right w:val="single" w:sz="8" w:space="0" w:color="auto"/>
            </w:tcBorders>
            <w:shd w:val="clear" w:color="auto" w:fill="auto"/>
            <w:noWrap/>
            <w:vAlign w:val="center"/>
            <w:hideMark/>
          </w:tcPr>
          <w:p w14:paraId="50DA170D"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180</w:t>
            </w:r>
          </w:p>
        </w:tc>
        <w:tc>
          <w:tcPr>
            <w:tcW w:w="0" w:type="auto"/>
            <w:tcBorders>
              <w:top w:val="nil"/>
              <w:left w:val="nil"/>
              <w:bottom w:val="single" w:sz="8" w:space="0" w:color="auto"/>
              <w:right w:val="single" w:sz="8" w:space="0" w:color="auto"/>
            </w:tcBorders>
            <w:shd w:val="clear" w:color="auto" w:fill="auto"/>
            <w:noWrap/>
            <w:vAlign w:val="center"/>
            <w:hideMark/>
          </w:tcPr>
          <w:p w14:paraId="59B32A1C"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2</w:t>
            </w:r>
          </w:p>
        </w:tc>
      </w:tr>
    </w:tbl>
    <w:p w14:paraId="305B3BF3" w14:textId="77777777" w:rsidR="006A513B" w:rsidRPr="00AC2BC7" w:rsidRDefault="006A513B" w:rsidP="00A85BBC">
      <w:pPr>
        <w:rPr>
          <w:rFonts w:ascii="Times New Roman" w:hAnsi="Times New Roman" w:cs="Times New Roman"/>
        </w:rPr>
      </w:pPr>
    </w:p>
    <w:p w14:paraId="576AD446" w14:textId="77777777" w:rsidR="0021677C" w:rsidRPr="00AC2BC7" w:rsidRDefault="0021677C" w:rsidP="00121172">
      <w:pPr>
        <w:spacing w:line="240" w:lineRule="auto"/>
        <w:rPr>
          <w:rFonts w:ascii="Times New Roman" w:hAnsi="Times New Roman" w:cs="Times New Roman"/>
          <w:b/>
        </w:rPr>
      </w:pPr>
      <w:r w:rsidRPr="00AC2BC7">
        <w:rPr>
          <w:rFonts w:ascii="Times New Roman" w:hAnsi="Times New Roman" w:cs="Times New Roman"/>
          <w:b/>
        </w:rPr>
        <w:t xml:space="preserve">Monthly Rates </w:t>
      </w:r>
      <w:r w:rsidR="00F34545" w:rsidRPr="00AC2BC7">
        <w:rPr>
          <w:rFonts w:ascii="Times New Roman" w:hAnsi="Times New Roman" w:cs="Times New Roman"/>
          <w:b/>
        </w:rPr>
        <w:t>and Rate Spreads</w:t>
      </w:r>
    </w:p>
    <w:p w14:paraId="385E7186" w14:textId="22FFAD14" w:rsidR="00E57D51" w:rsidRPr="00AC2BC7" w:rsidRDefault="00F34545" w:rsidP="00121172">
      <w:pPr>
        <w:spacing w:line="240" w:lineRule="auto"/>
        <w:rPr>
          <w:rFonts w:ascii="Times New Roman" w:hAnsi="Times New Roman" w:cs="Times New Roman"/>
        </w:rPr>
      </w:pPr>
      <w:r w:rsidRPr="00AC2BC7">
        <w:rPr>
          <w:rFonts w:ascii="Times New Roman" w:hAnsi="Times New Roman" w:cs="Times New Roman"/>
        </w:rPr>
        <w:t xml:space="preserve">The rate spread (the maximum rate less the minimum rate) is </w:t>
      </w:r>
      <w:r w:rsidR="009F5199" w:rsidRPr="00AC2BC7">
        <w:rPr>
          <w:rFonts w:ascii="Times New Roman" w:hAnsi="Times New Roman" w:cs="Times New Roman"/>
        </w:rPr>
        <w:t>an additional component of the calculation of</w:t>
      </w:r>
      <w:r w:rsidRPr="00AC2BC7">
        <w:rPr>
          <w:rFonts w:ascii="Times New Roman" w:hAnsi="Times New Roman" w:cs="Times New Roman"/>
        </w:rPr>
        <w:t xml:space="preserve"> the </w:t>
      </w:r>
      <w:r w:rsidR="001072E5" w:rsidRPr="00AC2BC7">
        <w:rPr>
          <w:rFonts w:ascii="Times New Roman" w:hAnsi="Times New Roman" w:cs="Times New Roman"/>
        </w:rPr>
        <w:t>standard deviation of monthly rates.</w:t>
      </w:r>
      <w:r w:rsidR="00503F26" w:rsidRPr="00AC2BC7">
        <w:rPr>
          <w:rFonts w:ascii="Times New Roman" w:hAnsi="Times New Roman" w:cs="Times New Roman"/>
        </w:rPr>
        <w:t xml:space="preserve"> </w:t>
      </w:r>
      <w:r w:rsidR="00E57D51" w:rsidRPr="00AC2BC7">
        <w:rPr>
          <w:rFonts w:ascii="Times New Roman" w:hAnsi="Times New Roman" w:cs="Times New Roman"/>
        </w:rPr>
        <w:t xml:space="preserve">For each (service provider, census tract) pair, separate monthly rates were calculated for each of the two service </w:t>
      </w:r>
      <w:r w:rsidR="00A97377" w:rsidRPr="00AC2BC7">
        <w:rPr>
          <w:rFonts w:ascii="Times New Roman" w:hAnsi="Times New Roman" w:cs="Times New Roman"/>
        </w:rPr>
        <w:t>technologies</w:t>
      </w:r>
      <w:r w:rsidR="00E57D51" w:rsidRPr="00AC2BC7">
        <w:rPr>
          <w:rFonts w:ascii="Times New Roman" w:hAnsi="Times New Roman" w:cs="Times New Roman"/>
        </w:rPr>
        <w:t xml:space="preserve"> (circuit and </w:t>
      </w:r>
      <w:r w:rsidR="0076242C" w:rsidRPr="00AC2BC7">
        <w:rPr>
          <w:rFonts w:ascii="Times New Roman" w:hAnsi="Times New Roman" w:cs="Times New Roman"/>
        </w:rPr>
        <w:t>interconnected VoIP (</w:t>
      </w:r>
      <w:proofErr w:type="spellStart"/>
      <w:r w:rsidR="0076242C" w:rsidRPr="00AC2BC7">
        <w:rPr>
          <w:rFonts w:ascii="Times New Roman" w:hAnsi="Times New Roman" w:cs="Times New Roman"/>
        </w:rPr>
        <w:t>iVoIP</w:t>
      </w:r>
      <w:proofErr w:type="spellEnd"/>
      <w:r w:rsidR="0076242C" w:rsidRPr="00AC2BC7">
        <w:rPr>
          <w:rFonts w:ascii="Times New Roman" w:hAnsi="Times New Roman" w:cs="Times New Roman"/>
        </w:rPr>
        <w:t>)</w:t>
      </w:r>
      <w:r w:rsidR="00E57D51" w:rsidRPr="00AC2BC7">
        <w:rPr>
          <w:rFonts w:ascii="Times New Roman" w:hAnsi="Times New Roman" w:cs="Times New Roman"/>
        </w:rPr>
        <w:t>).</w:t>
      </w:r>
      <w:r w:rsidR="00503F26" w:rsidRPr="00AC2BC7">
        <w:rPr>
          <w:rFonts w:ascii="Times New Roman" w:hAnsi="Times New Roman" w:cs="Times New Roman"/>
        </w:rPr>
        <w:t xml:space="preserve"> </w:t>
      </w:r>
      <w:r w:rsidR="00E57D51" w:rsidRPr="00AC2BC7">
        <w:rPr>
          <w:rFonts w:ascii="Times New Roman" w:hAnsi="Times New Roman" w:cs="Times New Roman"/>
        </w:rPr>
        <w:t xml:space="preserve">The following </w:t>
      </w:r>
      <w:r w:rsidR="005B2D1E" w:rsidRPr="00AC2BC7">
        <w:rPr>
          <w:rFonts w:ascii="Times New Roman" w:hAnsi="Times New Roman" w:cs="Times New Roman"/>
        </w:rPr>
        <w:t>average monthly rates</w:t>
      </w:r>
      <w:r w:rsidR="00E57D51" w:rsidRPr="00AC2BC7">
        <w:rPr>
          <w:rFonts w:ascii="Times New Roman" w:hAnsi="Times New Roman" w:cs="Times New Roman"/>
        </w:rPr>
        <w:t xml:space="preserve"> were calculated:</w:t>
      </w:r>
    </w:p>
    <w:p w14:paraId="1A35F155" w14:textId="77777777" w:rsidR="005B2D1E" w:rsidRPr="00AC2BC7" w:rsidRDefault="00E57D51"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Average RSC</w:t>
      </w:r>
      <w:r w:rsidR="005B2D1E" w:rsidRPr="00AC2BC7">
        <w:rPr>
          <w:rStyle w:val="FootnoteReference"/>
          <w:rFonts w:ascii="Times New Roman" w:hAnsi="Times New Roman" w:cs="Times New Roman"/>
        </w:rPr>
        <w:footnoteReference w:id="10"/>
      </w:r>
      <w:r w:rsidRPr="00AC2BC7">
        <w:rPr>
          <w:rFonts w:ascii="Times New Roman" w:hAnsi="Times New Roman" w:cs="Times New Roman"/>
        </w:rPr>
        <w:t xml:space="preserve"> = (Minimum RSC + Maximum RSC)</w:t>
      </w:r>
      <w:r w:rsidR="005B2D1E" w:rsidRPr="00AC2BC7">
        <w:rPr>
          <w:rFonts w:ascii="Times New Roman" w:hAnsi="Times New Roman" w:cs="Times New Roman"/>
        </w:rPr>
        <w:t>/2</w:t>
      </w:r>
    </w:p>
    <w:p w14:paraId="22780094"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 xml:space="preserve">Average </w:t>
      </w:r>
      <w:proofErr w:type="spellStart"/>
      <w:r w:rsidRPr="00AC2BC7">
        <w:rPr>
          <w:rFonts w:ascii="Times New Roman" w:hAnsi="Times New Roman" w:cs="Times New Roman"/>
        </w:rPr>
        <w:t>StSLC</w:t>
      </w:r>
      <w:proofErr w:type="spellEnd"/>
      <w:r w:rsidRPr="00AC2BC7">
        <w:rPr>
          <w:rStyle w:val="FootnoteReference"/>
          <w:rFonts w:ascii="Times New Roman" w:hAnsi="Times New Roman" w:cs="Times New Roman"/>
        </w:rPr>
        <w:footnoteReference w:id="11"/>
      </w:r>
      <w:r w:rsidRPr="00AC2BC7">
        <w:rPr>
          <w:rFonts w:ascii="Times New Roman" w:hAnsi="Times New Roman" w:cs="Times New Roman"/>
        </w:rPr>
        <w:t xml:space="preserve"> = (Minimum </w:t>
      </w:r>
      <w:proofErr w:type="spellStart"/>
      <w:r w:rsidRPr="00AC2BC7">
        <w:rPr>
          <w:rFonts w:ascii="Times New Roman" w:hAnsi="Times New Roman" w:cs="Times New Roman"/>
        </w:rPr>
        <w:t>StSLC</w:t>
      </w:r>
      <w:proofErr w:type="spellEnd"/>
      <w:r w:rsidRPr="00AC2BC7">
        <w:rPr>
          <w:rFonts w:ascii="Times New Roman" w:hAnsi="Times New Roman" w:cs="Times New Roman"/>
        </w:rPr>
        <w:t xml:space="preserve"> + Maximum </w:t>
      </w:r>
      <w:proofErr w:type="spellStart"/>
      <w:r w:rsidRPr="00AC2BC7">
        <w:rPr>
          <w:rFonts w:ascii="Times New Roman" w:hAnsi="Times New Roman" w:cs="Times New Roman"/>
        </w:rPr>
        <w:t>StSLC</w:t>
      </w:r>
      <w:proofErr w:type="spellEnd"/>
      <w:r w:rsidRPr="00AC2BC7">
        <w:rPr>
          <w:rFonts w:ascii="Times New Roman" w:hAnsi="Times New Roman" w:cs="Times New Roman"/>
        </w:rPr>
        <w:t>)/2</w:t>
      </w:r>
    </w:p>
    <w:p w14:paraId="70BAF82B"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 xml:space="preserve">Average </w:t>
      </w:r>
      <w:proofErr w:type="spellStart"/>
      <w:r w:rsidRPr="00AC2BC7">
        <w:rPr>
          <w:rFonts w:ascii="Times New Roman" w:hAnsi="Times New Roman" w:cs="Times New Roman"/>
        </w:rPr>
        <w:t>StUSF</w:t>
      </w:r>
      <w:proofErr w:type="spellEnd"/>
      <w:r w:rsidRPr="00AC2BC7">
        <w:rPr>
          <w:rStyle w:val="FootnoteReference"/>
          <w:rFonts w:ascii="Times New Roman" w:hAnsi="Times New Roman" w:cs="Times New Roman"/>
        </w:rPr>
        <w:footnoteReference w:id="12"/>
      </w:r>
      <w:r w:rsidRPr="00AC2BC7">
        <w:rPr>
          <w:rFonts w:ascii="Times New Roman" w:hAnsi="Times New Roman" w:cs="Times New Roman"/>
        </w:rPr>
        <w:t xml:space="preserve"> = (Minimum </w:t>
      </w:r>
      <w:proofErr w:type="spellStart"/>
      <w:r w:rsidRPr="00AC2BC7">
        <w:rPr>
          <w:rFonts w:ascii="Times New Roman" w:hAnsi="Times New Roman" w:cs="Times New Roman"/>
        </w:rPr>
        <w:t>StUSF</w:t>
      </w:r>
      <w:proofErr w:type="spellEnd"/>
      <w:r w:rsidRPr="00AC2BC7">
        <w:rPr>
          <w:rFonts w:ascii="Times New Roman" w:hAnsi="Times New Roman" w:cs="Times New Roman"/>
        </w:rPr>
        <w:t xml:space="preserve"> + Maximum </w:t>
      </w:r>
      <w:proofErr w:type="spellStart"/>
      <w:r w:rsidRPr="00AC2BC7">
        <w:rPr>
          <w:rFonts w:ascii="Times New Roman" w:hAnsi="Times New Roman" w:cs="Times New Roman"/>
        </w:rPr>
        <w:t>StUSF</w:t>
      </w:r>
      <w:proofErr w:type="spellEnd"/>
      <w:r w:rsidRPr="00AC2BC7">
        <w:rPr>
          <w:rFonts w:ascii="Times New Roman" w:hAnsi="Times New Roman" w:cs="Times New Roman"/>
        </w:rPr>
        <w:t>)/2</w:t>
      </w:r>
    </w:p>
    <w:p w14:paraId="4FCF719F"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 xml:space="preserve">Average </w:t>
      </w:r>
      <w:proofErr w:type="spellStart"/>
      <w:r w:rsidRPr="00AC2BC7">
        <w:rPr>
          <w:rFonts w:ascii="Times New Roman" w:hAnsi="Times New Roman" w:cs="Times New Roman"/>
        </w:rPr>
        <w:t>ManEAS</w:t>
      </w:r>
      <w:proofErr w:type="spellEnd"/>
      <w:r w:rsidRPr="00AC2BC7">
        <w:rPr>
          <w:rStyle w:val="FootnoteReference"/>
          <w:rFonts w:ascii="Times New Roman" w:hAnsi="Times New Roman" w:cs="Times New Roman"/>
        </w:rPr>
        <w:footnoteReference w:id="13"/>
      </w:r>
      <w:r w:rsidRPr="00AC2BC7">
        <w:rPr>
          <w:rFonts w:ascii="Times New Roman" w:hAnsi="Times New Roman" w:cs="Times New Roman"/>
        </w:rPr>
        <w:t xml:space="preserve"> = (Minimum </w:t>
      </w:r>
      <w:proofErr w:type="spellStart"/>
      <w:r w:rsidRPr="00AC2BC7">
        <w:rPr>
          <w:rFonts w:ascii="Times New Roman" w:hAnsi="Times New Roman" w:cs="Times New Roman"/>
        </w:rPr>
        <w:t>ManEAS</w:t>
      </w:r>
      <w:proofErr w:type="spellEnd"/>
      <w:r w:rsidRPr="00AC2BC7">
        <w:rPr>
          <w:rFonts w:ascii="Times New Roman" w:hAnsi="Times New Roman" w:cs="Times New Roman"/>
        </w:rPr>
        <w:t xml:space="preserve"> + Maximum </w:t>
      </w:r>
      <w:proofErr w:type="spellStart"/>
      <w:r w:rsidRPr="00AC2BC7">
        <w:rPr>
          <w:rFonts w:ascii="Times New Roman" w:hAnsi="Times New Roman" w:cs="Times New Roman"/>
        </w:rPr>
        <w:t>ManEAS</w:t>
      </w:r>
      <w:proofErr w:type="spellEnd"/>
      <w:r w:rsidRPr="00AC2BC7">
        <w:rPr>
          <w:rFonts w:ascii="Times New Roman" w:hAnsi="Times New Roman" w:cs="Times New Roman"/>
        </w:rPr>
        <w:t>)/2</w:t>
      </w:r>
    </w:p>
    <w:p w14:paraId="6446BF18" w14:textId="77777777" w:rsidR="005B2D1E" w:rsidRPr="00AC2BC7" w:rsidRDefault="005B2D1E" w:rsidP="00121172">
      <w:pPr>
        <w:pStyle w:val="ListParagraph"/>
        <w:numPr>
          <w:ilvl w:val="0"/>
          <w:numId w:val="8"/>
        </w:numPr>
        <w:spacing w:line="240" w:lineRule="auto"/>
        <w:rPr>
          <w:rFonts w:ascii="Times New Roman" w:hAnsi="Times New Roman" w:cs="Times New Roman"/>
        </w:rPr>
      </w:pPr>
      <w:r w:rsidRPr="00AC2BC7">
        <w:rPr>
          <w:rFonts w:ascii="Times New Roman" w:hAnsi="Times New Roman" w:cs="Times New Roman"/>
        </w:rPr>
        <w:t>Average FSLC</w:t>
      </w:r>
      <w:r w:rsidRPr="00AC2BC7">
        <w:rPr>
          <w:rStyle w:val="FootnoteReference"/>
          <w:rFonts w:ascii="Times New Roman" w:hAnsi="Times New Roman" w:cs="Times New Roman"/>
        </w:rPr>
        <w:footnoteReference w:id="14"/>
      </w:r>
      <w:r w:rsidRPr="00AC2BC7">
        <w:rPr>
          <w:rFonts w:ascii="Times New Roman" w:hAnsi="Times New Roman" w:cs="Times New Roman"/>
        </w:rPr>
        <w:t xml:space="preserve"> = (Minimum FSLC + Maximum FSLC)/2</w:t>
      </w:r>
    </w:p>
    <w:p w14:paraId="091DEFDC" w14:textId="5C559356" w:rsidR="005B2D1E" w:rsidRPr="00AC2BC7" w:rsidRDefault="00B25188" w:rsidP="00121172">
      <w:pPr>
        <w:spacing w:line="240" w:lineRule="auto"/>
        <w:rPr>
          <w:rFonts w:ascii="Times New Roman" w:hAnsi="Times New Roman" w:cs="Times New Roman"/>
        </w:rPr>
      </w:pPr>
      <w:r w:rsidRPr="00AC2BC7">
        <w:rPr>
          <w:rFonts w:ascii="Times New Roman" w:hAnsi="Times New Roman" w:cs="Times New Roman"/>
        </w:rPr>
        <w:t>If the service provider indicated that multiple rates were not offered in the census tract, then the average monthly rates above were set equal to the minimum</w:t>
      </w:r>
      <w:r w:rsidR="00044BFF" w:rsidRPr="00AC2BC7">
        <w:rPr>
          <w:rStyle w:val="FootnoteReference"/>
          <w:rFonts w:ascii="Times New Roman" w:hAnsi="Times New Roman" w:cs="Times New Roman"/>
        </w:rPr>
        <w:footnoteReference w:id="15"/>
      </w:r>
      <w:r w:rsidRPr="00AC2BC7">
        <w:rPr>
          <w:rFonts w:ascii="Times New Roman" w:hAnsi="Times New Roman" w:cs="Times New Roman"/>
        </w:rPr>
        <w:t xml:space="preserve"> monthly rate provided in the response.</w:t>
      </w:r>
    </w:p>
    <w:p w14:paraId="5827FCC6" w14:textId="53B504C8" w:rsidR="005B2D1E" w:rsidRPr="00AC2BC7" w:rsidRDefault="00B25188" w:rsidP="00121172">
      <w:pPr>
        <w:spacing w:line="240" w:lineRule="auto"/>
        <w:rPr>
          <w:rFonts w:ascii="Times New Roman" w:hAnsi="Times New Roman" w:cs="Times New Roman"/>
        </w:rPr>
      </w:pPr>
      <w:r w:rsidRPr="00AC2BC7">
        <w:rPr>
          <w:rFonts w:ascii="Times New Roman" w:hAnsi="Times New Roman" w:cs="Times New Roman"/>
        </w:rPr>
        <w:t xml:space="preserve">The analysis focused on two rates, one for determining the rate floor and one for determining the </w:t>
      </w:r>
      <w:r w:rsidR="005B358E" w:rsidRPr="00AC2BC7">
        <w:rPr>
          <w:rFonts w:ascii="Times New Roman" w:hAnsi="Times New Roman" w:cs="Times New Roman"/>
        </w:rPr>
        <w:t xml:space="preserve">reasonable </w:t>
      </w:r>
      <w:r w:rsidRPr="00AC2BC7">
        <w:rPr>
          <w:rFonts w:ascii="Times New Roman" w:hAnsi="Times New Roman" w:cs="Times New Roman"/>
        </w:rPr>
        <w:t>comparability benchmark</w:t>
      </w:r>
      <w:r w:rsidR="0065265E" w:rsidRPr="00AC2BC7">
        <w:rPr>
          <w:rFonts w:ascii="Times New Roman" w:hAnsi="Times New Roman" w:cs="Times New Roman"/>
        </w:rPr>
        <w:t>.</w:t>
      </w:r>
      <w:r w:rsidR="00503F26" w:rsidRPr="00AC2BC7">
        <w:rPr>
          <w:rFonts w:ascii="Times New Roman" w:hAnsi="Times New Roman" w:cs="Times New Roman"/>
        </w:rPr>
        <w:t xml:space="preserve"> </w:t>
      </w:r>
      <w:r w:rsidRPr="00AC2BC7">
        <w:rPr>
          <w:rFonts w:ascii="Times New Roman" w:hAnsi="Times New Roman" w:cs="Times New Roman"/>
        </w:rPr>
        <w:t>For the rate floor</w:t>
      </w:r>
      <w:r w:rsidR="0065265E" w:rsidRPr="00AC2BC7">
        <w:rPr>
          <w:rFonts w:ascii="Times New Roman" w:hAnsi="Times New Roman" w:cs="Times New Roman"/>
        </w:rPr>
        <w:t>, the following average monthly rate was used if the service provider offered multiple rates in the census tract:</w:t>
      </w:r>
    </w:p>
    <w:p w14:paraId="11191691" w14:textId="77777777" w:rsidR="0062510F"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t xml:space="preserve">Minimum </w:t>
      </w:r>
      <w:r w:rsidR="007B3DF2" w:rsidRPr="00AC2BC7">
        <w:rPr>
          <w:rFonts w:ascii="Times New Roman" w:hAnsi="Times New Roman" w:cs="Times New Roman"/>
        </w:rPr>
        <w:t xml:space="preserve">Rate = </w:t>
      </w:r>
      <w:r w:rsidRPr="00AC2BC7">
        <w:rPr>
          <w:rFonts w:ascii="Times New Roman" w:hAnsi="Times New Roman" w:cs="Times New Roman"/>
        </w:rPr>
        <w:t xml:space="preserve">Minimum </w:t>
      </w:r>
      <w:r w:rsidR="007B3DF2" w:rsidRPr="00AC2BC7">
        <w:rPr>
          <w:rFonts w:ascii="Times New Roman" w:hAnsi="Times New Roman" w:cs="Times New Roman"/>
        </w:rPr>
        <w:t xml:space="preserve">RSC + </w:t>
      </w:r>
      <w:r w:rsidRPr="00AC2BC7">
        <w:rPr>
          <w:rFonts w:ascii="Times New Roman" w:hAnsi="Times New Roman" w:cs="Times New Roman"/>
        </w:rPr>
        <w:t xml:space="preserve">Minimum </w:t>
      </w:r>
      <w:proofErr w:type="spellStart"/>
      <w:r w:rsidR="007B3DF2" w:rsidRPr="00AC2BC7">
        <w:rPr>
          <w:rFonts w:ascii="Times New Roman" w:hAnsi="Times New Roman" w:cs="Times New Roman"/>
        </w:rPr>
        <w:t>StSLC</w:t>
      </w:r>
      <w:proofErr w:type="spellEnd"/>
      <w:r w:rsidR="007B3DF2" w:rsidRPr="00AC2BC7">
        <w:rPr>
          <w:rFonts w:ascii="Times New Roman" w:hAnsi="Times New Roman" w:cs="Times New Roman"/>
        </w:rPr>
        <w:t xml:space="preserve"> + </w:t>
      </w:r>
      <w:r w:rsidRPr="00AC2BC7">
        <w:rPr>
          <w:rFonts w:ascii="Times New Roman" w:hAnsi="Times New Roman" w:cs="Times New Roman"/>
        </w:rPr>
        <w:t xml:space="preserve">Minimum </w:t>
      </w:r>
      <w:proofErr w:type="spellStart"/>
      <w:r w:rsidR="007B3DF2" w:rsidRPr="00AC2BC7">
        <w:rPr>
          <w:rFonts w:ascii="Times New Roman" w:hAnsi="Times New Roman" w:cs="Times New Roman"/>
        </w:rPr>
        <w:t>StUSF</w:t>
      </w:r>
      <w:proofErr w:type="spellEnd"/>
      <w:r w:rsidR="007B3DF2" w:rsidRPr="00AC2BC7">
        <w:rPr>
          <w:rFonts w:ascii="Times New Roman" w:hAnsi="Times New Roman" w:cs="Times New Roman"/>
        </w:rPr>
        <w:t xml:space="preserve"> + </w:t>
      </w:r>
      <w:r w:rsidRPr="00AC2BC7">
        <w:rPr>
          <w:rFonts w:ascii="Times New Roman" w:hAnsi="Times New Roman" w:cs="Times New Roman"/>
        </w:rPr>
        <w:t xml:space="preserve">Minimum </w:t>
      </w:r>
      <w:proofErr w:type="spellStart"/>
      <w:r w:rsidR="007B3DF2" w:rsidRPr="00AC2BC7">
        <w:rPr>
          <w:rFonts w:ascii="Times New Roman" w:hAnsi="Times New Roman" w:cs="Times New Roman"/>
        </w:rPr>
        <w:t>ManE</w:t>
      </w:r>
      <w:r w:rsidR="002925B8" w:rsidRPr="00AC2BC7">
        <w:rPr>
          <w:rFonts w:ascii="Times New Roman" w:hAnsi="Times New Roman" w:cs="Times New Roman"/>
        </w:rPr>
        <w:t>AS</w:t>
      </w:r>
      <w:proofErr w:type="spellEnd"/>
    </w:p>
    <w:p w14:paraId="0A837BF7" w14:textId="77777777" w:rsidR="0065265E"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t xml:space="preserve">Maximum Rate = Maximum RSC + Maximum </w:t>
      </w:r>
      <w:proofErr w:type="spellStart"/>
      <w:r w:rsidRPr="00AC2BC7">
        <w:rPr>
          <w:rFonts w:ascii="Times New Roman" w:hAnsi="Times New Roman" w:cs="Times New Roman"/>
        </w:rPr>
        <w:t>StSLC</w:t>
      </w:r>
      <w:proofErr w:type="spellEnd"/>
      <w:r w:rsidRPr="00AC2BC7">
        <w:rPr>
          <w:rFonts w:ascii="Times New Roman" w:hAnsi="Times New Roman" w:cs="Times New Roman"/>
        </w:rPr>
        <w:t xml:space="preserve"> + Maximum </w:t>
      </w:r>
      <w:proofErr w:type="spellStart"/>
      <w:r w:rsidRPr="00AC2BC7">
        <w:rPr>
          <w:rFonts w:ascii="Times New Roman" w:hAnsi="Times New Roman" w:cs="Times New Roman"/>
        </w:rPr>
        <w:t>StUSF</w:t>
      </w:r>
      <w:proofErr w:type="spellEnd"/>
      <w:r w:rsidRPr="00AC2BC7">
        <w:rPr>
          <w:rFonts w:ascii="Times New Roman" w:hAnsi="Times New Roman" w:cs="Times New Roman"/>
        </w:rPr>
        <w:t xml:space="preserve"> + Maximum </w:t>
      </w:r>
      <w:proofErr w:type="spellStart"/>
      <w:r w:rsidRPr="00AC2BC7">
        <w:rPr>
          <w:rFonts w:ascii="Times New Roman" w:hAnsi="Times New Roman" w:cs="Times New Roman"/>
        </w:rPr>
        <w:t>ManEAS</w:t>
      </w:r>
      <w:proofErr w:type="spellEnd"/>
    </w:p>
    <w:p w14:paraId="71376A8D" w14:textId="77777777" w:rsidR="0065265E"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t>Average Rate = (Minimum Rate + Maximum Rate)/2</w:t>
      </w:r>
    </w:p>
    <w:p w14:paraId="75FF896C" w14:textId="77777777" w:rsidR="0065265E" w:rsidRPr="00AC2BC7" w:rsidRDefault="0065265E" w:rsidP="00121172">
      <w:pPr>
        <w:pStyle w:val="ListParagraph"/>
        <w:numPr>
          <w:ilvl w:val="0"/>
          <w:numId w:val="9"/>
        </w:numPr>
        <w:spacing w:line="240" w:lineRule="auto"/>
        <w:rPr>
          <w:rFonts w:ascii="Times New Roman" w:hAnsi="Times New Roman" w:cs="Times New Roman"/>
        </w:rPr>
      </w:pPr>
      <w:r w:rsidRPr="00AC2BC7">
        <w:rPr>
          <w:rFonts w:ascii="Times New Roman" w:hAnsi="Times New Roman" w:cs="Times New Roman"/>
        </w:rPr>
        <w:t>Rate Spread = Maximum Rate - Minimum Rate</w:t>
      </w:r>
    </w:p>
    <w:p w14:paraId="6747EB25" w14:textId="77777777" w:rsidR="0065265E" w:rsidRPr="00AC2BC7" w:rsidRDefault="0065265E" w:rsidP="00121172">
      <w:pPr>
        <w:spacing w:line="240" w:lineRule="auto"/>
        <w:rPr>
          <w:rFonts w:ascii="Times New Roman" w:hAnsi="Times New Roman" w:cs="Times New Roman"/>
        </w:rPr>
      </w:pPr>
      <w:r w:rsidRPr="00AC2BC7">
        <w:rPr>
          <w:rFonts w:ascii="Times New Roman" w:hAnsi="Times New Roman" w:cs="Times New Roman"/>
        </w:rPr>
        <w:t>The following average monthly rate was used if the service provider did not offer multiple rates in the census tract:</w:t>
      </w:r>
    </w:p>
    <w:p w14:paraId="4D14CE78" w14:textId="77777777" w:rsidR="0065265E" w:rsidRPr="00AC2BC7" w:rsidRDefault="0065265E" w:rsidP="00121172">
      <w:pPr>
        <w:pStyle w:val="ListParagraph"/>
        <w:numPr>
          <w:ilvl w:val="0"/>
          <w:numId w:val="10"/>
        </w:numPr>
        <w:spacing w:line="240" w:lineRule="auto"/>
        <w:rPr>
          <w:rFonts w:ascii="Times New Roman" w:hAnsi="Times New Roman" w:cs="Times New Roman"/>
        </w:rPr>
      </w:pPr>
      <w:r w:rsidRPr="00AC2BC7">
        <w:rPr>
          <w:rFonts w:ascii="Times New Roman" w:hAnsi="Times New Roman" w:cs="Times New Roman"/>
        </w:rPr>
        <w:t xml:space="preserve">Average Rate = Minimum RSC + Minimum </w:t>
      </w:r>
      <w:proofErr w:type="spellStart"/>
      <w:r w:rsidRPr="00AC2BC7">
        <w:rPr>
          <w:rFonts w:ascii="Times New Roman" w:hAnsi="Times New Roman" w:cs="Times New Roman"/>
        </w:rPr>
        <w:t>StSLC</w:t>
      </w:r>
      <w:proofErr w:type="spellEnd"/>
      <w:r w:rsidRPr="00AC2BC7">
        <w:rPr>
          <w:rFonts w:ascii="Times New Roman" w:hAnsi="Times New Roman" w:cs="Times New Roman"/>
        </w:rPr>
        <w:t xml:space="preserve"> + Minimum </w:t>
      </w:r>
      <w:proofErr w:type="spellStart"/>
      <w:r w:rsidRPr="00AC2BC7">
        <w:rPr>
          <w:rFonts w:ascii="Times New Roman" w:hAnsi="Times New Roman" w:cs="Times New Roman"/>
        </w:rPr>
        <w:t>StUSF</w:t>
      </w:r>
      <w:proofErr w:type="spellEnd"/>
      <w:r w:rsidRPr="00AC2BC7">
        <w:rPr>
          <w:rFonts w:ascii="Times New Roman" w:hAnsi="Times New Roman" w:cs="Times New Roman"/>
        </w:rPr>
        <w:t xml:space="preserve"> + Minimum </w:t>
      </w:r>
      <w:proofErr w:type="spellStart"/>
      <w:r w:rsidRPr="00AC2BC7">
        <w:rPr>
          <w:rFonts w:ascii="Times New Roman" w:hAnsi="Times New Roman" w:cs="Times New Roman"/>
        </w:rPr>
        <w:t>ManEAS</w:t>
      </w:r>
      <w:proofErr w:type="spellEnd"/>
    </w:p>
    <w:p w14:paraId="3241BE3E" w14:textId="77777777" w:rsidR="0065265E" w:rsidRPr="00AC2BC7" w:rsidRDefault="0065265E" w:rsidP="00121172">
      <w:pPr>
        <w:pStyle w:val="ListParagraph"/>
        <w:numPr>
          <w:ilvl w:val="0"/>
          <w:numId w:val="10"/>
        </w:numPr>
        <w:spacing w:line="240" w:lineRule="auto"/>
        <w:rPr>
          <w:rFonts w:ascii="Times New Roman" w:hAnsi="Times New Roman" w:cs="Times New Roman"/>
        </w:rPr>
      </w:pPr>
      <w:r w:rsidRPr="00AC2BC7">
        <w:rPr>
          <w:rFonts w:ascii="Times New Roman" w:hAnsi="Times New Roman" w:cs="Times New Roman"/>
        </w:rPr>
        <w:t>Rate Spread = 0</w:t>
      </w:r>
    </w:p>
    <w:p w14:paraId="1F2C128A" w14:textId="3338807F" w:rsidR="00A528AE" w:rsidRPr="00AC2BC7" w:rsidRDefault="00A528AE" w:rsidP="00121172">
      <w:pPr>
        <w:spacing w:line="240" w:lineRule="auto"/>
        <w:rPr>
          <w:rFonts w:ascii="Times New Roman" w:hAnsi="Times New Roman" w:cs="Times New Roman"/>
        </w:rPr>
      </w:pPr>
      <w:r w:rsidRPr="00AC2BC7">
        <w:rPr>
          <w:rFonts w:ascii="Times New Roman" w:hAnsi="Times New Roman" w:cs="Times New Roman"/>
        </w:rPr>
        <w:lastRenderedPageBreak/>
        <w:t xml:space="preserve">For the </w:t>
      </w:r>
      <w:r w:rsidR="009838AA" w:rsidRPr="00AC2BC7">
        <w:rPr>
          <w:rFonts w:ascii="Times New Roman" w:hAnsi="Times New Roman" w:cs="Times New Roman"/>
        </w:rPr>
        <w:t xml:space="preserve">reasonable </w:t>
      </w:r>
      <w:r w:rsidRPr="00AC2BC7">
        <w:rPr>
          <w:rFonts w:ascii="Times New Roman" w:hAnsi="Times New Roman" w:cs="Times New Roman"/>
        </w:rPr>
        <w:t>comparability benchmark (CB), the following average monthly rate was used if the service provider offered multiple rates in the census tract:</w:t>
      </w:r>
    </w:p>
    <w:p w14:paraId="78CFEC94"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t xml:space="preserve">Minimum Rate CB = Minimum Rate + Minimum FSLC </w:t>
      </w:r>
    </w:p>
    <w:p w14:paraId="5BB3EFA9"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t xml:space="preserve">Maximum Rate CB = Maximum Rate + Maximum FSLC </w:t>
      </w:r>
    </w:p>
    <w:p w14:paraId="20FE1704"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t>Average Rate CB = (Minimum Rate CB + Maximum Rate CB)/2</w:t>
      </w:r>
    </w:p>
    <w:p w14:paraId="4EC5A827" w14:textId="77777777" w:rsidR="00A528AE" w:rsidRPr="00AC2BC7" w:rsidRDefault="00A528AE" w:rsidP="00121172">
      <w:pPr>
        <w:pStyle w:val="ListParagraph"/>
        <w:numPr>
          <w:ilvl w:val="0"/>
          <w:numId w:val="11"/>
        </w:numPr>
        <w:spacing w:line="240" w:lineRule="auto"/>
        <w:rPr>
          <w:rFonts w:ascii="Times New Roman" w:hAnsi="Times New Roman" w:cs="Times New Roman"/>
        </w:rPr>
      </w:pPr>
      <w:r w:rsidRPr="00AC2BC7">
        <w:rPr>
          <w:rFonts w:ascii="Times New Roman" w:hAnsi="Times New Roman" w:cs="Times New Roman"/>
        </w:rPr>
        <w:t>Rate Spread CB = Maximum Rate CB - Minimum Rate CB</w:t>
      </w:r>
    </w:p>
    <w:p w14:paraId="0FD0C6C0" w14:textId="77777777" w:rsidR="00A528AE" w:rsidRPr="00AC2BC7" w:rsidRDefault="00A528AE" w:rsidP="00121172">
      <w:pPr>
        <w:spacing w:line="240" w:lineRule="auto"/>
        <w:rPr>
          <w:rFonts w:ascii="Times New Roman" w:hAnsi="Times New Roman" w:cs="Times New Roman"/>
        </w:rPr>
      </w:pPr>
      <w:r w:rsidRPr="00AC2BC7">
        <w:rPr>
          <w:rFonts w:ascii="Times New Roman" w:hAnsi="Times New Roman" w:cs="Times New Roman"/>
        </w:rPr>
        <w:t>The following average monthly rate was used if the service provider did not offer multiple rates in the census tract:</w:t>
      </w:r>
    </w:p>
    <w:p w14:paraId="57655A69" w14:textId="77777777" w:rsidR="00A528AE" w:rsidRPr="00AC2BC7" w:rsidRDefault="00A528AE" w:rsidP="00121172">
      <w:pPr>
        <w:pStyle w:val="ListParagraph"/>
        <w:numPr>
          <w:ilvl w:val="0"/>
          <w:numId w:val="12"/>
        </w:numPr>
        <w:spacing w:line="240" w:lineRule="auto"/>
        <w:rPr>
          <w:rFonts w:ascii="Times New Roman" w:hAnsi="Times New Roman" w:cs="Times New Roman"/>
        </w:rPr>
      </w:pPr>
      <w:r w:rsidRPr="00AC2BC7">
        <w:rPr>
          <w:rFonts w:ascii="Times New Roman" w:hAnsi="Times New Roman" w:cs="Times New Roman"/>
        </w:rPr>
        <w:t>Average Rate CB = Minimum Rate + Minimum FSLC</w:t>
      </w:r>
    </w:p>
    <w:p w14:paraId="664A63DB" w14:textId="77777777" w:rsidR="00A528AE" w:rsidRPr="00AC2BC7" w:rsidRDefault="00A528AE" w:rsidP="00121172">
      <w:pPr>
        <w:pStyle w:val="ListParagraph"/>
        <w:numPr>
          <w:ilvl w:val="0"/>
          <w:numId w:val="12"/>
        </w:numPr>
        <w:spacing w:line="240" w:lineRule="auto"/>
        <w:rPr>
          <w:rFonts w:ascii="Times New Roman" w:hAnsi="Times New Roman" w:cs="Times New Roman"/>
        </w:rPr>
      </w:pPr>
      <w:r w:rsidRPr="00AC2BC7">
        <w:rPr>
          <w:rFonts w:ascii="Times New Roman" w:hAnsi="Times New Roman" w:cs="Times New Roman"/>
        </w:rPr>
        <w:t>Rate Spread CB = 0</w:t>
      </w:r>
    </w:p>
    <w:p w14:paraId="4EE5B01C" w14:textId="77777777" w:rsidR="006B4D00" w:rsidRPr="00AC2BC7" w:rsidRDefault="006B4D00" w:rsidP="00121172">
      <w:pPr>
        <w:pStyle w:val="FootnoteText"/>
        <w:rPr>
          <w:rFonts w:ascii="Times New Roman" w:hAnsi="Times New Roman" w:cs="Times New Roman"/>
          <w:sz w:val="22"/>
          <w:szCs w:val="22"/>
        </w:rPr>
      </w:pPr>
    </w:p>
    <w:p w14:paraId="5CA1FD0F" w14:textId="77777777" w:rsidR="009F2CD2" w:rsidRPr="00AC2BC7" w:rsidRDefault="009F2CD2" w:rsidP="00121172">
      <w:pPr>
        <w:spacing w:line="240" w:lineRule="auto"/>
        <w:rPr>
          <w:rFonts w:ascii="Times New Roman" w:hAnsi="Times New Roman" w:cs="Times New Roman"/>
          <w:b/>
        </w:rPr>
      </w:pPr>
      <w:r w:rsidRPr="00AC2BC7">
        <w:rPr>
          <w:rFonts w:ascii="Times New Roman" w:hAnsi="Times New Roman" w:cs="Times New Roman"/>
          <w:b/>
        </w:rPr>
        <w:t>Weights</w:t>
      </w:r>
    </w:p>
    <w:p w14:paraId="1201EAC6" w14:textId="6C84F427" w:rsidR="006448D9" w:rsidRPr="00AC2BC7" w:rsidRDefault="00044BFF" w:rsidP="00121172">
      <w:pPr>
        <w:spacing w:line="240" w:lineRule="auto"/>
        <w:rPr>
          <w:rFonts w:ascii="Times New Roman" w:hAnsi="Times New Roman" w:cs="Times New Roman"/>
        </w:rPr>
      </w:pPr>
      <w:r w:rsidRPr="00AC2BC7">
        <w:rPr>
          <w:rFonts w:ascii="Times New Roman" w:hAnsi="Times New Roman" w:cs="Times New Roman"/>
        </w:rPr>
        <w:t xml:space="preserve">Weights are required to </w:t>
      </w:r>
      <w:r w:rsidR="007C1B36" w:rsidRPr="00AC2BC7">
        <w:rPr>
          <w:rFonts w:ascii="Times New Roman" w:hAnsi="Times New Roman" w:cs="Times New Roman"/>
        </w:rPr>
        <w:t>ensure</w:t>
      </w:r>
      <w:r w:rsidRPr="00AC2BC7">
        <w:rPr>
          <w:rFonts w:ascii="Times New Roman" w:hAnsi="Times New Roman" w:cs="Times New Roman"/>
        </w:rPr>
        <w:t xml:space="preserve"> the contributions of </w:t>
      </w:r>
      <w:r w:rsidR="007C1B36" w:rsidRPr="00AC2BC7">
        <w:rPr>
          <w:rFonts w:ascii="Times New Roman" w:hAnsi="Times New Roman" w:cs="Times New Roman"/>
        </w:rPr>
        <w:t xml:space="preserve">each response properly represent </w:t>
      </w:r>
      <w:r w:rsidR="00033278" w:rsidRPr="00AC2BC7">
        <w:rPr>
          <w:rFonts w:ascii="Times New Roman" w:hAnsi="Times New Roman" w:cs="Times New Roman"/>
        </w:rPr>
        <w:t>the offers</w:t>
      </w:r>
      <w:r w:rsidR="00F13949" w:rsidRPr="00AC2BC7">
        <w:rPr>
          <w:rFonts w:ascii="Times New Roman" w:hAnsi="Times New Roman" w:cs="Times New Roman"/>
        </w:rPr>
        <w:t xml:space="preserve"> that</w:t>
      </w:r>
      <w:r w:rsidR="00033278" w:rsidRPr="00AC2BC7">
        <w:rPr>
          <w:rFonts w:ascii="Times New Roman" w:hAnsi="Times New Roman" w:cs="Times New Roman"/>
        </w:rPr>
        <w:t xml:space="preserve"> consumers possibly</w:t>
      </w:r>
      <w:r w:rsidR="00F13949" w:rsidRPr="00AC2BC7">
        <w:rPr>
          <w:rFonts w:ascii="Times New Roman" w:hAnsi="Times New Roman" w:cs="Times New Roman"/>
        </w:rPr>
        <w:t xml:space="preserve"> receive</w:t>
      </w:r>
      <w:r w:rsidR="00033278" w:rsidRPr="00AC2BC7">
        <w:rPr>
          <w:rFonts w:ascii="Times New Roman" w:hAnsi="Times New Roman" w:cs="Times New Roman"/>
        </w:rPr>
        <w:t xml:space="preserve"> nationwide</w:t>
      </w:r>
      <w:r w:rsidRPr="00AC2BC7">
        <w:rPr>
          <w:rFonts w:ascii="Times New Roman" w:hAnsi="Times New Roman" w:cs="Times New Roman"/>
        </w:rPr>
        <w:t>.</w:t>
      </w:r>
      <w:r w:rsidR="00503F26" w:rsidRPr="00AC2BC7">
        <w:rPr>
          <w:rFonts w:ascii="Times New Roman" w:hAnsi="Times New Roman" w:cs="Times New Roman"/>
        </w:rPr>
        <w:t xml:space="preserve"> </w:t>
      </w:r>
      <w:r w:rsidR="008F716D" w:rsidRPr="00AC2BC7">
        <w:rPr>
          <w:rFonts w:ascii="Times New Roman" w:hAnsi="Times New Roman" w:cs="Times New Roman"/>
        </w:rPr>
        <w:t xml:space="preserve">Weights are also used to </w:t>
      </w:r>
      <w:r w:rsidR="003525F4">
        <w:rPr>
          <w:rFonts w:ascii="Times New Roman" w:hAnsi="Times New Roman" w:cs="Times New Roman"/>
        </w:rPr>
        <w:t>e</w:t>
      </w:r>
      <w:r w:rsidRPr="00AC2BC7">
        <w:rPr>
          <w:rFonts w:ascii="Times New Roman" w:hAnsi="Times New Roman" w:cs="Times New Roman"/>
        </w:rPr>
        <w:t>nsure that a service provider</w:t>
      </w:r>
      <w:r w:rsidR="00CE40AA">
        <w:rPr>
          <w:rFonts w:ascii="Times New Roman" w:hAnsi="Times New Roman" w:cs="Times New Roman"/>
        </w:rPr>
        <w:t>’</w:t>
      </w:r>
      <w:r w:rsidRPr="00AC2BC7">
        <w:rPr>
          <w:rFonts w:ascii="Times New Roman" w:hAnsi="Times New Roman" w:cs="Times New Roman"/>
        </w:rPr>
        <w:t xml:space="preserve">s rates do not exert extra influence on the estimate only because </w:t>
      </w:r>
      <w:r w:rsidR="00CE40AA">
        <w:rPr>
          <w:rFonts w:ascii="Times New Roman" w:hAnsi="Times New Roman" w:cs="Times New Roman"/>
        </w:rPr>
        <w:t>the provider</w:t>
      </w:r>
      <w:r w:rsidR="00CE40AA" w:rsidRPr="00AC2BC7">
        <w:rPr>
          <w:rFonts w:ascii="Times New Roman" w:hAnsi="Times New Roman" w:cs="Times New Roman"/>
        </w:rPr>
        <w:t xml:space="preserve"> </w:t>
      </w:r>
      <w:r w:rsidRPr="00AC2BC7">
        <w:rPr>
          <w:rFonts w:ascii="Times New Roman" w:hAnsi="Times New Roman" w:cs="Times New Roman"/>
        </w:rPr>
        <w:t>offers service using two technologies instead of one.</w:t>
      </w:r>
      <w:r w:rsidR="00503F26" w:rsidRPr="00AC2BC7">
        <w:rPr>
          <w:rFonts w:ascii="Times New Roman" w:hAnsi="Times New Roman" w:cs="Times New Roman"/>
        </w:rPr>
        <w:t xml:space="preserve"> </w:t>
      </w:r>
    </w:p>
    <w:p w14:paraId="4D760EF3" w14:textId="0298059D" w:rsidR="004C361E" w:rsidRPr="00AC2BC7" w:rsidRDefault="006A513B" w:rsidP="00121172">
      <w:pPr>
        <w:spacing w:line="240" w:lineRule="auto"/>
        <w:rPr>
          <w:rFonts w:ascii="Times New Roman" w:hAnsi="Times New Roman" w:cs="Times New Roman"/>
        </w:rPr>
      </w:pPr>
      <w:r w:rsidRPr="00AC2BC7">
        <w:rPr>
          <w:rFonts w:ascii="Times New Roman" w:hAnsi="Times New Roman" w:cs="Times New Roman"/>
        </w:rPr>
        <w:t xml:space="preserve">The </w:t>
      </w:r>
      <w:r w:rsidR="00F0723E">
        <w:rPr>
          <w:rFonts w:ascii="Times New Roman" w:hAnsi="Times New Roman" w:cs="Times New Roman"/>
        </w:rPr>
        <w:t>2018</w:t>
      </w:r>
      <w:r w:rsidRPr="00AC2BC7">
        <w:rPr>
          <w:rFonts w:ascii="Times New Roman" w:hAnsi="Times New Roman" w:cs="Times New Roman"/>
        </w:rPr>
        <w:t xml:space="preserve"> survey weight construction </w:t>
      </w:r>
      <w:r w:rsidR="00ED379F">
        <w:rPr>
          <w:rFonts w:ascii="Times New Roman" w:hAnsi="Times New Roman" w:cs="Times New Roman"/>
        </w:rPr>
        <w:t>is consistent to the 2017 survey weight construction</w:t>
      </w:r>
      <w:r w:rsidRPr="00AC2BC7">
        <w:rPr>
          <w:rFonts w:ascii="Times New Roman" w:hAnsi="Times New Roman" w:cs="Times New Roman"/>
        </w:rPr>
        <w:t>.</w:t>
      </w:r>
      <w:r w:rsidR="006448D9" w:rsidRPr="00AC2BC7">
        <w:rPr>
          <w:rFonts w:ascii="Times New Roman" w:hAnsi="Times New Roman" w:cs="Times New Roman"/>
        </w:rPr>
        <w:t xml:space="preserve"> </w:t>
      </w:r>
      <w:r w:rsidR="004C361E" w:rsidRPr="00AC2BC7">
        <w:rPr>
          <w:rFonts w:ascii="Times New Roman" w:hAnsi="Times New Roman" w:cs="Times New Roman"/>
        </w:rPr>
        <w:t xml:space="preserve">Each rate was assigned a weight: </w:t>
      </w:r>
    </w:p>
    <w:p w14:paraId="45286CB3" w14:textId="2F1BFAD4" w:rsidR="004C361E" w:rsidRPr="00121172" w:rsidRDefault="004C361E" w:rsidP="00121172">
      <w:pPr>
        <w:spacing w:line="240" w:lineRule="auto"/>
        <w:jc w:val="center"/>
        <w:rPr>
          <w:rFonts w:ascii="Times New Roman" w:hAnsi="Times New Roman" w:cs="Times New Roman"/>
          <w:i/>
        </w:rPr>
      </w:pPr>
      <w:r w:rsidRPr="00121172">
        <w:rPr>
          <w:rFonts w:ascii="Times New Roman" w:hAnsi="Times New Roman" w:cs="Times New Roman"/>
          <w:i/>
        </w:rPr>
        <w:t>W</w:t>
      </w:r>
      <w:r w:rsidR="008F716D" w:rsidRPr="00121172">
        <w:rPr>
          <w:rFonts w:ascii="Times New Roman" w:hAnsi="Times New Roman" w:cs="Times New Roman"/>
          <w:i/>
        </w:rPr>
        <w:t xml:space="preserve">eight </w:t>
      </w:r>
      <w:r w:rsidRPr="00121172">
        <w:rPr>
          <w:rFonts w:ascii="Times New Roman" w:hAnsi="Times New Roman" w:cs="Times New Roman"/>
          <w:i/>
        </w:rPr>
        <w:t xml:space="preserve">= </w:t>
      </w:r>
      <w:r w:rsidR="00B06224" w:rsidRPr="00121172">
        <w:rPr>
          <w:rFonts w:ascii="Times New Roman" w:hAnsi="Times New Roman" w:cs="Times New Roman"/>
          <w:i/>
        </w:rPr>
        <w:t>Sampling Weight</w:t>
      </w:r>
      <w:r w:rsidRPr="00121172">
        <w:rPr>
          <w:rFonts w:ascii="Times New Roman" w:hAnsi="Times New Roman" w:cs="Times New Roman"/>
          <w:i/>
        </w:rPr>
        <w:t xml:space="preserve"> x </w:t>
      </w:r>
      <w:r w:rsidR="00B06224" w:rsidRPr="00121172">
        <w:rPr>
          <w:rFonts w:ascii="Times New Roman" w:hAnsi="Times New Roman" w:cs="Times New Roman"/>
          <w:i/>
        </w:rPr>
        <w:t>Nonresponse</w:t>
      </w:r>
      <w:r w:rsidRPr="00121172">
        <w:rPr>
          <w:rFonts w:ascii="Times New Roman" w:hAnsi="Times New Roman" w:cs="Times New Roman"/>
          <w:i/>
        </w:rPr>
        <w:t xml:space="preserve"> Weight </w:t>
      </w:r>
      <w:r w:rsidR="00B06224" w:rsidRPr="00121172">
        <w:rPr>
          <w:rFonts w:ascii="Times New Roman" w:hAnsi="Times New Roman" w:cs="Times New Roman"/>
          <w:i/>
        </w:rPr>
        <w:t>x Rate Weight</w:t>
      </w:r>
      <w:r w:rsidR="00580D77" w:rsidRPr="00121172">
        <w:rPr>
          <w:rFonts w:ascii="Times New Roman" w:hAnsi="Times New Roman" w:cs="Times New Roman"/>
          <w:i/>
        </w:rPr>
        <w:t xml:space="preserve"> x Offer</w:t>
      </w:r>
    </w:p>
    <w:p w14:paraId="1F69D863" w14:textId="5099E179" w:rsidR="00376584" w:rsidRPr="00AC2BC7" w:rsidRDefault="00376584" w:rsidP="00121172">
      <w:pPr>
        <w:spacing w:line="240" w:lineRule="auto"/>
        <w:rPr>
          <w:rFonts w:ascii="Times New Roman" w:hAnsi="Times New Roman" w:cs="Times New Roman"/>
        </w:rPr>
      </w:pPr>
      <w:r w:rsidRPr="00AC2BC7">
        <w:rPr>
          <w:rFonts w:ascii="Times New Roman" w:hAnsi="Times New Roman" w:cs="Times New Roman"/>
          <w:i/>
        </w:rPr>
        <w:t>Sampling Weight</w:t>
      </w:r>
      <w:r w:rsidRPr="00AC2BC7">
        <w:rPr>
          <w:rFonts w:ascii="Times New Roman" w:hAnsi="Times New Roman" w:cs="Times New Roman"/>
        </w:rPr>
        <w:t xml:space="preserve"> is the inverse of the selection probab</w:t>
      </w:r>
      <w:r w:rsidR="007F7CF3" w:rsidRPr="00AC2BC7">
        <w:rPr>
          <w:rFonts w:ascii="Times New Roman" w:hAnsi="Times New Roman" w:cs="Times New Roman"/>
        </w:rPr>
        <w:t>ility</w:t>
      </w:r>
      <w:r w:rsidRPr="00AC2BC7">
        <w:rPr>
          <w:rFonts w:ascii="Times New Roman" w:hAnsi="Times New Roman" w:cs="Times New Roman"/>
        </w:rPr>
        <w:t xml:space="preserve"> for each sampl</w:t>
      </w:r>
      <w:r w:rsidR="007F7CF3" w:rsidRPr="00AC2BC7">
        <w:rPr>
          <w:rFonts w:ascii="Times New Roman" w:hAnsi="Times New Roman" w:cs="Times New Roman"/>
        </w:rPr>
        <w:t>e</w:t>
      </w:r>
      <w:r w:rsidRPr="00AC2BC7">
        <w:rPr>
          <w:rFonts w:ascii="Times New Roman" w:hAnsi="Times New Roman" w:cs="Times New Roman"/>
        </w:rPr>
        <w:t xml:space="preserve"> unit. </w:t>
      </w:r>
      <w:r w:rsidR="008F716D" w:rsidRPr="00AC2BC7">
        <w:rPr>
          <w:rFonts w:ascii="Times New Roman" w:hAnsi="Times New Roman" w:cs="Times New Roman"/>
        </w:rPr>
        <w:t xml:space="preserve">The selection probability is determined by the </w:t>
      </w:r>
      <w:r w:rsidR="00906F7D" w:rsidRPr="00AC2BC7">
        <w:rPr>
          <w:rFonts w:ascii="Times New Roman" w:hAnsi="Times New Roman" w:cs="Times New Roman"/>
        </w:rPr>
        <w:t xml:space="preserve">total number of units in each strata, the sample size in each strata, and the </w:t>
      </w:r>
      <w:r w:rsidR="008F716D" w:rsidRPr="00AC2BC7">
        <w:rPr>
          <w:rFonts w:ascii="Times New Roman" w:hAnsi="Times New Roman" w:cs="Times New Roman"/>
        </w:rPr>
        <w:t>units’ number of offers described in the sample selection section earlier.</w:t>
      </w:r>
      <w:r w:rsidR="008434FD" w:rsidRPr="00AC2BC7">
        <w:rPr>
          <w:rFonts w:ascii="Times New Roman" w:hAnsi="Times New Roman" w:cs="Times New Roman"/>
        </w:rPr>
        <w:t xml:space="preserve"> Each sample is assigned a sampling weight to reflect its selection probability.</w:t>
      </w:r>
    </w:p>
    <w:p w14:paraId="0C0B7A50" w14:textId="43976BD0" w:rsidR="009E2D5D" w:rsidRPr="00AC2BC7" w:rsidRDefault="00F530CE" w:rsidP="00121172">
      <w:pPr>
        <w:spacing w:line="240" w:lineRule="auto"/>
        <w:rPr>
          <w:rFonts w:ascii="Times New Roman" w:hAnsi="Times New Roman" w:cs="Times New Roman"/>
          <w:color w:val="FF0000"/>
        </w:rPr>
      </w:pPr>
      <w:r w:rsidRPr="00AC2BC7">
        <w:rPr>
          <w:rFonts w:ascii="Times New Roman" w:hAnsi="Times New Roman" w:cs="Times New Roman"/>
          <w:i/>
        </w:rPr>
        <w:t>Nonresponse Weight</w:t>
      </w:r>
      <w:r w:rsidR="00376584" w:rsidRPr="00AC2BC7">
        <w:rPr>
          <w:rFonts w:ascii="Times New Roman" w:hAnsi="Times New Roman" w:cs="Times New Roman"/>
        </w:rPr>
        <w:t xml:space="preserve"> is assigned to each stratum to compensate </w:t>
      </w:r>
      <w:r w:rsidR="00A53C03" w:rsidRPr="00AC2BC7">
        <w:rPr>
          <w:rFonts w:ascii="Times New Roman" w:hAnsi="Times New Roman" w:cs="Times New Roman"/>
        </w:rPr>
        <w:t xml:space="preserve">for </w:t>
      </w:r>
      <w:r w:rsidR="00376584" w:rsidRPr="00AC2BC7">
        <w:rPr>
          <w:rFonts w:ascii="Times New Roman" w:hAnsi="Times New Roman" w:cs="Times New Roman"/>
        </w:rPr>
        <w:t>unit nonresponse in each stratum.</w:t>
      </w:r>
      <w:r w:rsidR="00503F26" w:rsidRPr="00AC2BC7">
        <w:rPr>
          <w:rFonts w:ascii="Times New Roman" w:hAnsi="Times New Roman" w:cs="Times New Roman"/>
        </w:rPr>
        <w:t xml:space="preserve"> </w:t>
      </w:r>
      <w:r w:rsidR="008F716D" w:rsidRPr="00AC2BC7">
        <w:rPr>
          <w:rFonts w:ascii="Times New Roman" w:hAnsi="Times New Roman" w:cs="Times New Roman"/>
        </w:rPr>
        <w:t xml:space="preserve">It is the total number of offers sampled over the total number of offers </w:t>
      </w:r>
      <w:r w:rsidR="00906F7D" w:rsidRPr="00AC2BC7">
        <w:rPr>
          <w:rFonts w:ascii="Times New Roman" w:hAnsi="Times New Roman" w:cs="Times New Roman"/>
        </w:rPr>
        <w:t>in the sampled census tracts of a given provider who has provided rate responses</w:t>
      </w:r>
      <w:r w:rsidR="008F716D" w:rsidRPr="00AC2BC7">
        <w:rPr>
          <w:rFonts w:ascii="Times New Roman" w:hAnsi="Times New Roman" w:cs="Times New Roman"/>
        </w:rPr>
        <w:t xml:space="preserve"> in each stratum.</w:t>
      </w:r>
      <w:r w:rsidR="008434FD" w:rsidRPr="00AC2BC7">
        <w:rPr>
          <w:rFonts w:ascii="Times New Roman" w:hAnsi="Times New Roman" w:cs="Times New Roman"/>
        </w:rPr>
        <w:t xml:space="preserve"> </w:t>
      </w:r>
    </w:p>
    <w:p w14:paraId="4FE86E00" w14:textId="7FBBFC02" w:rsidR="00AB286B" w:rsidRPr="00AC2BC7" w:rsidRDefault="009F2CD2" w:rsidP="00121172">
      <w:pPr>
        <w:spacing w:line="240" w:lineRule="auto"/>
        <w:rPr>
          <w:rFonts w:ascii="Times New Roman" w:hAnsi="Times New Roman" w:cs="Times New Roman"/>
        </w:rPr>
      </w:pPr>
      <w:r w:rsidRPr="00AC2BC7">
        <w:rPr>
          <w:rFonts w:ascii="Times New Roman" w:hAnsi="Times New Roman" w:cs="Times New Roman"/>
          <w:i/>
        </w:rPr>
        <w:t>Rate Weight</w:t>
      </w:r>
      <w:r w:rsidR="00044BFF" w:rsidRPr="00AC2BC7">
        <w:rPr>
          <w:rFonts w:ascii="Times New Roman" w:hAnsi="Times New Roman" w:cs="Times New Roman"/>
        </w:rPr>
        <w:t xml:space="preserve"> </w:t>
      </w:r>
      <w:r w:rsidR="00F530CE" w:rsidRPr="00AC2BC7">
        <w:rPr>
          <w:rFonts w:ascii="Times New Roman" w:hAnsi="Times New Roman" w:cs="Times New Roman"/>
        </w:rPr>
        <w:t xml:space="preserve">is assigned to average the rates for </w:t>
      </w:r>
      <w:proofErr w:type="spellStart"/>
      <w:r w:rsidR="00F530CE" w:rsidRPr="00AC2BC7">
        <w:rPr>
          <w:rFonts w:ascii="Times New Roman" w:hAnsi="Times New Roman" w:cs="Times New Roman"/>
        </w:rPr>
        <w:t>iVoIP</w:t>
      </w:r>
      <w:proofErr w:type="spellEnd"/>
      <w:r w:rsidR="00F530CE" w:rsidRPr="00AC2BC7">
        <w:rPr>
          <w:rFonts w:ascii="Times New Roman" w:hAnsi="Times New Roman" w:cs="Times New Roman"/>
        </w:rPr>
        <w:t xml:space="preserve"> and circuit when both are employed by the service provider in a census tract for that service</w:t>
      </w:r>
      <w:r w:rsidRPr="00AC2BC7">
        <w:rPr>
          <w:rFonts w:ascii="Times New Roman" w:hAnsi="Times New Roman" w:cs="Times New Roman"/>
        </w:rPr>
        <w:t xml:space="preserve">. </w:t>
      </w:r>
      <w:r w:rsidR="004C361E" w:rsidRPr="00AC2BC7">
        <w:rPr>
          <w:rFonts w:ascii="Times New Roman" w:hAnsi="Times New Roman" w:cs="Times New Roman"/>
        </w:rPr>
        <w:t>A</w:t>
      </w:r>
      <w:r w:rsidR="000F5379" w:rsidRPr="00AC2BC7">
        <w:rPr>
          <w:rFonts w:ascii="Times New Roman" w:hAnsi="Times New Roman" w:cs="Times New Roman"/>
        </w:rPr>
        <w:t xml:space="preserve"> service provider that offers </w:t>
      </w:r>
      <w:r w:rsidR="00105AEF" w:rsidRPr="00AC2BC7">
        <w:rPr>
          <w:rFonts w:ascii="Times New Roman" w:hAnsi="Times New Roman" w:cs="Times New Roman"/>
        </w:rPr>
        <w:t>a s</w:t>
      </w:r>
      <w:r w:rsidR="000F5379" w:rsidRPr="00AC2BC7">
        <w:rPr>
          <w:rFonts w:ascii="Times New Roman" w:hAnsi="Times New Roman" w:cs="Times New Roman"/>
        </w:rPr>
        <w:t xml:space="preserve">ervice via </w:t>
      </w:r>
      <w:proofErr w:type="spellStart"/>
      <w:r w:rsidR="0076242C" w:rsidRPr="00AC2BC7">
        <w:rPr>
          <w:rFonts w:ascii="Times New Roman" w:hAnsi="Times New Roman" w:cs="Times New Roman"/>
        </w:rPr>
        <w:t>iVoIP</w:t>
      </w:r>
      <w:proofErr w:type="spellEnd"/>
      <w:r w:rsidR="000F5379" w:rsidRPr="00AC2BC7">
        <w:rPr>
          <w:rFonts w:ascii="Times New Roman" w:hAnsi="Times New Roman" w:cs="Times New Roman"/>
        </w:rPr>
        <w:t xml:space="preserve"> and circuit technologies </w:t>
      </w:r>
      <w:r w:rsidR="00003F6E" w:rsidRPr="00AC2BC7">
        <w:rPr>
          <w:rFonts w:ascii="Times New Roman" w:hAnsi="Times New Roman" w:cs="Times New Roman"/>
        </w:rPr>
        <w:t xml:space="preserve">is given </w:t>
      </w:r>
      <w:r w:rsidR="000F5379" w:rsidRPr="00AC2BC7">
        <w:rPr>
          <w:rFonts w:ascii="Times New Roman" w:hAnsi="Times New Roman" w:cs="Times New Roman"/>
        </w:rPr>
        <w:t xml:space="preserve">a </w:t>
      </w:r>
      <w:r w:rsidR="004C361E" w:rsidRPr="00AC2BC7">
        <w:rPr>
          <w:rFonts w:ascii="Times New Roman" w:hAnsi="Times New Roman" w:cs="Times New Roman"/>
        </w:rPr>
        <w:t>weight</w:t>
      </w:r>
      <w:r w:rsidR="000F5379" w:rsidRPr="00AC2BC7">
        <w:rPr>
          <w:rFonts w:ascii="Times New Roman" w:hAnsi="Times New Roman" w:cs="Times New Roman"/>
        </w:rPr>
        <w:t xml:space="preserve"> of ½ for its rates</w:t>
      </w:r>
      <w:r w:rsidR="00105AEF" w:rsidRPr="00AC2BC7">
        <w:rPr>
          <w:rFonts w:ascii="Times New Roman" w:hAnsi="Times New Roman" w:cs="Times New Roman"/>
        </w:rPr>
        <w:t xml:space="preserve"> for </w:t>
      </w:r>
      <w:r w:rsidR="00003F6E" w:rsidRPr="00AC2BC7">
        <w:rPr>
          <w:rFonts w:ascii="Times New Roman" w:hAnsi="Times New Roman" w:cs="Times New Roman"/>
        </w:rPr>
        <w:t xml:space="preserve">each </w:t>
      </w:r>
      <w:r w:rsidR="00105AEF" w:rsidRPr="00AC2BC7">
        <w:rPr>
          <w:rFonts w:ascii="Times New Roman" w:hAnsi="Times New Roman" w:cs="Times New Roman"/>
        </w:rPr>
        <w:t>service</w:t>
      </w:r>
      <w:r w:rsidR="000F5379" w:rsidRPr="00AC2BC7">
        <w:rPr>
          <w:rFonts w:ascii="Times New Roman" w:hAnsi="Times New Roman" w:cs="Times New Roman"/>
        </w:rPr>
        <w:t>.</w:t>
      </w:r>
      <w:r w:rsidR="00503F26" w:rsidRPr="00AC2BC7">
        <w:rPr>
          <w:rFonts w:ascii="Times New Roman" w:hAnsi="Times New Roman" w:cs="Times New Roman"/>
        </w:rPr>
        <w:t xml:space="preserve"> </w:t>
      </w:r>
      <w:r w:rsidR="000F5379" w:rsidRPr="00AC2BC7">
        <w:rPr>
          <w:rFonts w:ascii="Times New Roman" w:hAnsi="Times New Roman" w:cs="Times New Roman"/>
        </w:rPr>
        <w:t xml:space="preserve">Otherwise, the rates have a </w:t>
      </w:r>
      <w:r w:rsidR="00105AEF" w:rsidRPr="00AC2BC7">
        <w:rPr>
          <w:rFonts w:ascii="Times New Roman" w:hAnsi="Times New Roman" w:cs="Times New Roman"/>
        </w:rPr>
        <w:t>weight</w:t>
      </w:r>
      <w:r w:rsidR="000F5379" w:rsidRPr="00AC2BC7">
        <w:rPr>
          <w:rFonts w:ascii="Times New Roman" w:hAnsi="Times New Roman" w:cs="Times New Roman"/>
        </w:rPr>
        <w:t xml:space="preserve"> of 1.</w:t>
      </w:r>
      <w:r w:rsidR="00503F26" w:rsidRPr="00AC2BC7">
        <w:rPr>
          <w:rFonts w:ascii="Times New Roman" w:hAnsi="Times New Roman" w:cs="Times New Roman"/>
        </w:rPr>
        <w:t xml:space="preserve"> </w:t>
      </w:r>
    </w:p>
    <w:p w14:paraId="73CDBF82" w14:textId="7A1F64F6" w:rsidR="00D94DEB" w:rsidRPr="00AC2BC7" w:rsidRDefault="00505DD7" w:rsidP="00121172">
      <w:pPr>
        <w:spacing w:line="240" w:lineRule="auto"/>
        <w:rPr>
          <w:rFonts w:ascii="Times New Roman" w:hAnsi="Times New Roman" w:cs="Times New Roman"/>
        </w:rPr>
      </w:pPr>
      <w:r w:rsidRPr="00AC2BC7">
        <w:rPr>
          <w:rFonts w:ascii="Times New Roman" w:hAnsi="Times New Roman" w:cs="Times New Roman"/>
        </w:rPr>
        <w:t>The final weight is the product of Sampling Weight, Nonresponse Weight, Rate Weight, and the number of offers from a provider in a given tract.</w:t>
      </w:r>
    </w:p>
    <w:p w14:paraId="6AA4326F" w14:textId="77777777" w:rsidR="00CE7343" w:rsidRPr="00AC2BC7" w:rsidRDefault="00CE7343" w:rsidP="00121172">
      <w:pPr>
        <w:spacing w:line="240" w:lineRule="auto"/>
        <w:rPr>
          <w:rFonts w:ascii="Times New Roman" w:hAnsi="Times New Roman" w:cs="Times New Roman"/>
        </w:rPr>
      </w:pPr>
    </w:p>
    <w:p w14:paraId="3DA8CB65" w14:textId="77777777" w:rsidR="00341B75" w:rsidRPr="00AC2BC7" w:rsidRDefault="00341B75" w:rsidP="00121172">
      <w:pPr>
        <w:spacing w:line="240" w:lineRule="auto"/>
        <w:rPr>
          <w:rFonts w:ascii="Times New Roman" w:hAnsi="Times New Roman" w:cs="Times New Roman"/>
          <w:b/>
        </w:rPr>
      </w:pPr>
      <w:r w:rsidRPr="00AC2BC7">
        <w:rPr>
          <w:rFonts w:ascii="Times New Roman" w:hAnsi="Times New Roman" w:cs="Times New Roman"/>
          <w:b/>
        </w:rPr>
        <w:t xml:space="preserve">Rate Estimates for </w:t>
      </w:r>
      <w:r w:rsidR="005C7D3D" w:rsidRPr="00AC2BC7">
        <w:rPr>
          <w:rFonts w:ascii="Times New Roman" w:hAnsi="Times New Roman" w:cs="Times New Roman"/>
          <w:b/>
        </w:rPr>
        <w:t>Unlimited or Flat-Rate Local Service</w:t>
      </w:r>
    </w:p>
    <w:p w14:paraId="2C4E56E3" w14:textId="48747BA4" w:rsidR="00B06224" w:rsidRPr="00AC2BC7" w:rsidRDefault="00B06224" w:rsidP="00121172">
      <w:pPr>
        <w:spacing w:line="240" w:lineRule="auto"/>
        <w:rPr>
          <w:rFonts w:ascii="Times New Roman" w:hAnsi="Times New Roman" w:cs="Times New Roman"/>
        </w:rPr>
      </w:pPr>
      <w:r w:rsidRPr="00AC2BC7">
        <w:rPr>
          <w:rFonts w:ascii="Times New Roman" w:hAnsi="Times New Roman" w:cs="Times New Roman"/>
        </w:rPr>
        <w:t>The average rate is estimated as the following:</w:t>
      </w:r>
    </w:p>
    <w:p w14:paraId="520FEFEF" w14:textId="5B710715" w:rsidR="00B06224" w:rsidRPr="00AC2BC7" w:rsidRDefault="00B76397" w:rsidP="00B258A4">
      <w:pPr>
        <w:jc w:val="center"/>
        <w:rPr>
          <w:rFonts w:ascii="Times New Roman" w:hAnsi="Times New Roman" w:cs="Times New Roman"/>
        </w:rPr>
      </w:pPr>
      <w:r w:rsidRPr="00AC2BC7">
        <w:rPr>
          <w:rFonts w:ascii="Times New Roman" w:hAnsi="Times New Roman" w:cs="Times New Roman"/>
        </w:rPr>
        <w:t>Estimated a</w:t>
      </w:r>
      <w:r w:rsidR="00B258A4" w:rsidRPr="00AC2BC7">
        <w:rPr>
          <w:rFonts w:ascii="Times New Roman" w:hAnsi="Times New Roman" w:cs="Times New Roman"/>
        </w:rPr>
        <w:t xml:space="preserve">verage rate </w:t>
      </w:r>
      <w:proofErr w:type="gramStart"/>
      <w:r w:rsidR="00B258A4" w:rsidRPr="00AC2BC7">
        <w:rPr>
          <w:rFonts w:ascii="Times New Roman" w:hAnsi="Times New Roman" w:cs="Times New Roman"/>
        </w:rPr>
        <w:t xml:space="preserve">= </w:t>
      </w:r>
      <m:oMath>
        <m:f>
          <m:fPr>
            <m:ctrlPr>
              <w:rPr>
                <w:rFonts w:ascii="Cambria Math" w:hAnsi="Cambria Math" w:cs="Times New Roman"/>
                <w:i/>
              </w:rPr>
            </m:ctrlPr>
          </m:fPr>
          <m:num>
            <w:proofErr w:type="gramEnd"/>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Rate</m:t>
                    </m:r>
                  </m:e>
                  <m:sub>
                    <m:r>
                      <w:rPr>
                        <w:rFonts w:ascii="Cambria Math" w:hAnsi="Cambria Math" w:cs="Times New Roman"/>
                      </w:rPr>
                      <m:t>i</m:t>
                    </m:r>
                  </m:sub>
                </m:sSub>
              </m:e>
            </m:nary>
          </m:num>
          <m:den>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e>
            </m:nary>
          </m:den>
        </m:f>
      </m:oMath>
      <w:r w:rsidR="00B258A4" w:rsidRPr="00AC2BC7">
        <w:rPr>
          <w:rFonts w:ascii="Times New Roman" w:eastAsiaTheme="minorEastAsia" w:hAnsi="Times New Roman" w:cs="Times New Roman"/>
        </w:rPr>
        <w:t xml:space="preserve"> </w:t>
      </w:r>
      <w:r w:rsidR="00F066CE" w:rsidRPr="00AC2BC7">
        <w:rPr>
          <w:rFonts w:ascii="Times New Roman" w:eastAsiaTheme="minorEastAsia" w:hAnsi="Times New Roman" w:cs="Times New Roman"/>
        </w:rPr>
        <w:t xml:space="preserve">, </w:t>
      </w:r>
      <w:r w:rsidRPr="00AC2BC7">
        <w:rPr>
          <w:rFonts w:ascii="Times New Roman" w:eastAsiaTheme="minorEastAsia" w:hAnsi="Times New Roman" w:cs="Times New Roman"/>
        </w:rPr>
        <w:t>N</w:t>
      </w:r>
      <w:r w:rsidR="00B258A4" w:rsidRPr="00AC2BC7">
        <w:rPr>
          <w:rFonts w:ascii="Times New Roman" w:eastAsiaTheme="minorEastAsia" w:hAnsi="Times New Roman" w:cs="Times New Roman"/>
        </w:rPr>
        <w:t xml:space="preserve"> = total number of rate responses</w:t>
      </w:r>
    </w:p>
    <w:p w14:paraId="0F8FC87F" w14:textId="230FD6EB" w:rsidR="00366D32" w:rsidRPr="00AC2BC7" w:rsidRDefault="00366D32" w:rsidP="00121172">
      <w:pPr>
        <w:spacing w:line="240" w:lineRule="auto"/>
        <w:rPr>
          <w:rFonts w:ascii="Times New Roman" w:hAnsi="Times New Roman" w:cs="Times New Roman"/>
        </w:rPr>
      </w:pPr>
      <w:r w:rsidRPr="00AC2BC7">
        <w:rPr>
          <w:rFonts w:ascii="Times New Roman" w:hAnsi="Times New Roman" w:cs="Times New Roman"/>
        </w:rPr>
        <w:lastRenderedPageBreak/>
        <w:t>Estimates of the average rate and the standard deviation of rates were calculated separately for each stratum</w:t>
      </w:r>
      <w:r w:rsidR="004C361E" w:rsidRPr="00AC2BC7">
        <w:rPr>
          <w:rFonts w:ascii="Times New Roman" w:hAnsi="Times New Roman" w:cs="Times New Roman"/>
        </w:rPr>
        <w:t xml:space="preserve"> and for the strata combined</w:t>
      </w:r>
      <w:r w:rsidRPr="00AC2BC7">
        <w:rPr>
          <w:rFonts w:ascii="Times New Roman" w:hAnsi="Times New Roman" w:cs="Times New Roman"/>
        </w:rPr>
        <w:t xml:space="preserve">. The estimated average rate was the weighted average of rates </w:t>
      </w:r>
      <w:r w:rsidR="004C361E" w:rsidRPr="00AC2BC7">
        <w:rPr>
          <w:rFonts w:ascii="Times New Roman" w:hAnsi="Times New Roman" w:cs="Times New Roman"/>
        </w:rPr>
        <w:t>for the stratum or combined strata</w:t>
      </w:r>
      <w:r w:rsidRPr="00AC2BC7">
        <w:rPr>
          <w:rFonts w:ascii="Times New Roman" w:hAnsi="Times New Roman" w:cs="Times New Roman"/>
        </w:rPr>
        <w:t xml:space="preserve">. The estimated standard deviation of rates </w:t>
      </w:r>
      <w:r w:rsidR="00376129" w:rsidRPr="00AC2BC7">
        <w:rPr>
          <w:rFonts w:ascii="Times New Roman" w:hAnsi="Times New Roman" w:cs="Times New Roman"/>
        </w:rPr>
        <w:t xml:space="preserve">is calculated as </w:t>
      </w:r>
      <w:r w:rsidR="00C27AC6">
        <w:rPr>
          <w:rFonts w:ascii="Times New Roman" w:hAnsi="Times New Roman" w:cs="Times New Roman"/>
        </w:rPr>
        <w:t>follows</w:t>
      </w:r>
      <w:r w:rsidRPr="00AC2BC7">
        <w:rPr>
          <w:rFonts w:ascii="Times New Roman" w:hAnsi="Times New Roman" w:cs="Times New Roman"/>
        </w:rPr>
        <w:t>:</w:t>
      </w:r>
    </w:p>
    <w:p w14:paraId="73AB89FD" w14:textId="71B1FE1A" w:rsidR="002F3BE7" w:rsidRPr="00AC2BC7" w:rsidRDefault="00B76397" w:rsidP="00B76397">
      <w:pPr>
        <w:jc w:val="center"/>
        <w:rPr>
          <w:rFonts w:ascii="Times New Roman" w:hAnsi="Times New Roman" w:cs="Times New Roman"/>
        </w:rPr>
      </w:pPr>
      <w:r w:rsidRPr="00AC2BC7">
        <w:rPr>
          <w:rFonts w:ascii="Times New Roman" w:hAnsi="Times New Roman" w:cs="Times New Roman"/>
        </w:rPr>
        <w:t>Estimated standard deviation =</w:t>
      </w:r>
      <w:r w:rsidR="00503F26" w:rsidRPr="00AC2BC7">
        <w:rPr>
          <w:rFonts w:ascii="Times New Roman" w:hAnsi="Times New Roman" w:cs="Times New Roman"/>
        </w:rPr>
        <w:t xml:space="preserve"> </w:t>
      </w:r>
      <m:oMath>
        <m:rad>
          <m:radPr>
            <m:degHide m:val="1"/>
            <m:ctrlPr>
              <w:rPr>
                <w:rFonts w:ascii="Cambria Math" w:hAnsi="Cambria Math" w:cs="Times New Roman"/>
                <w:i/>
              </w:rPr>
            </m:ctrlPr>
          </m:radPr>
          <m:deg/>
          <m:e>
            <m:f>
              <m:fPr>
                <m:ctrlPr>
                  <w:rPr>
                    <w:rFonts w:ascii="Cambria Math" w:hAnsi="Cambria Math" w:cs="Times New Roman"/>
                    <w:i/>
                  </w:rPr>
                </m:ctrlPr>
              </m:fPr>
              <m:num>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sSup>
                      <m:sSupPr>
                        <m:ctrlPr>
                          <w:rPr>
                            <w:rFonts w:ascii="Cambria Math" w:hAnsi="Cambria Math" w:cs="Times New Roman"/>
                            <w:i/>
                          </w:rPr>
                        </m:ctrlPr>
                      </m:sSupPr>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Rate</m:t>
                            </m:r>
                          </m:e>
                          <m:sub>
                            <m:r>
                              <w:rPr>
                                <w:rFonts w:ascii="Cambria Math" w:hAnsi="Cambria Math" w:cs="Times New Roman"/>
                              </w:rPr>
                              <m:t>i</m:t>
                            </m:r>
                          </m:sub>
                        </m:sSub>
                        <m:r>
                          <w:rPr>
                            <w:rFonts w:ascii="Cambria Math" w:hAnsi="Cambria Math" w:cs="Times New Roman"/>
                          </w:rPr>
                          <m:t>-Estimated average rate)</m:t>
                        </m:r>
                      </m:e>
                      <m:sup>
                        <m:r>
                          <w:rPr>
                            <w:rFonts w:ascii="Cambria Math" w:hAnsi="Cambria Math" w:cs="Times New Roman"/>
                          </w:rPr>
                          <m:t>2</m:t>
                        </m:r>
                      </m:sup>
                    </m:sSup>
                  </m:e>
                </m:nary>
              </m:num>
              <m:den>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m:t>
                        </m:r>
                      </m:sub>
                    </m:sSub>
                  </m:e>
                </m:nary>
                <m:r>
                  <w:rPr>
                    <w:rFonts w:ascii="Cambria Math" w:hAnsi="Cambria Math" w:cs="Times New Roman"/>
                  </w:rPr>
                  <m:t>-1</m:t>
                </m:r>
              </m:den>
            </m:f>
          </m:e>
        </m:rad>
      </m:oMath>
      <w:r w:rsidR="00F066CE" w:rsidRPr="00AC2BC7">
        <w:rPr>
          <w:rFonts w:ascii="Times New Roman" w:eastAsiaTheme="minorEastAsia" w:hAnsi="Times New Roman" w:cs="Times New Roman"/>
        </w:rPr>
        <w:t xml:space="preserve"> </w:t>
      </w:r>
    </w:p>
    <w:p w14:paraId="2D643C64" w14:textId="768D0F04" w:rsidR="006353B4" w:rsidRDefault="005D3F4D" w:rsidP="006B7B2F">
      <w:pPr>
        <w:rPr>
          <w:rFonts w:ascii="Times New Roman" w:hAnsi="Times New Roman" w:cs="Times New Roman"/>
        </w:rPr>
      </w:pPr>
      <w:r w:rsidRPr="00AC2BC7">
        <w:rPr>
          <w:rFonts w:ascii="Times New Roman" w:hAnsi="Times New Roman" w:cs="Times New Roman"/>
        </w:rPr>
        <w:t xml:space="preserve">The table below presents the </w:t>
      </w:r>
      <w:r w:rsidR="00C83C62" w:rsidRPr="00AC2BC7">
        <w:rPr>
          <w:rFonts w:ascii="Times New Roman" w:hAnsi="Times New Roman" w:cs="Times New Roman"/>
        </w:rPr>
        <w:t xml:space="preserve">rate </w:t>
      </w:r>
      <w:r w:rsidRPr="00AC2BC7">
        <w:rPr>
          <w:rFonts w:ascii="Times New Roman" w:hAnsi="Times New Roman" w:cs="Times New Roman"/>
        </w:rPr>
        <w:t>estimates for each stratum</w:t>
      </w:r>
      <w:r w:rsidR="00C83C62" w:rsidRPr="00AC2BC7">
        <w:rPr>
          <w:rFonts w:ascii="Times New Roman" w:hAnsi="Times New Roman" w:cs="Times New Roman"/>
        </w:rPr>
        <w:t xml:space="preserve"> separately and combined.</w:t>
      </w:r>
    </w:p>
    <w:p w14:paraId="1D1C03CC" w14:textId="77777777" w:rsidR="00ED379F" w:rsidRPr="00AC2BC7" w:rsidRDefault="00ED379F" w:rsidP="006B7B2F">
      <w:pPr>
        <w:rPr>
          <w:rFonts w:ascii="Times New Roman" w:hAnsi="Times New Roman" w:cs="Times New Roman"/>
        </w:rPr>
      </w:pPr>
    </w:p>
    <w:tbl>
      <w:tblPr>
        <w:tblW w:w="0" w:type="auto"/>
        <w:jc w:val="center"/>
        <w:tblLook w:val="04A0" w:firstRow="1" w:lastRow="0" w:firstColumn="1" w:lastColumn="0" w:noHBand="0" w:noVBand="1"/>
      </w:tblPr>
      <w:tblGrid>
        <w:gridCol w:w="1774"/>
        <w:gridCol w:w="1041"/>
        <w:gridCol w:w="1921"/>
        <w:gridCol w:w="1041"/>
        <w:gridCol w:w="1921"/>
      </w:tblGrid>
      <w:tr w:rsidR="00ED379F" w:rsidRPr="00ED379F" w14:paraId="04945C9D" w14:textId="77777777" w:rsidTr="00ED379F">
        <w:trPr>
          <w:trHeight w:val="315"/>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C264E9"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Service Providers</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1CA63662"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Without FSLC</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2F810B1E"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With FSLC</w:t>
            </w:r>
          </w:p>
        </w:tc>
      </w:tr>
      <w:tr w:rsidR="00ED379F" w:rsidRPr="00ED379F" w14:paraId="170EF3BF" w14:textId="77777777" w:rsidTr="00ED379F">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AB196ED" w14:textId="77777777" w:rsidR="00ED379F" w:rsidRPr="00ED379F" w:rsidRDefault="00ED379F" w:rsidP="00ED379F">
            <w:pPr>
              <w:spacing w:after="0" w:line="240" w:lineRule="auto"/>
              <w:rPr>
                <w:rFonts w:ascii="Times New Roman" w:eastAsia="Times New Roman" w:hAnsi="Times New Roman" w:cs="Times New Roman"/>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19F7DC2A"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Average</w:t>
            </w:r>
          </w:p>
        </w:tc>
        <w:tc>
          <w:tcPr>
            <w:tcW w:w="0" w:type="auto"/>
            <w:tcBorders>
              <w:top w:val="nil"/>
              <w:left w:val="nil"/>
              <w:bottom w:val="single" w:sz="8" w:space="0" w:color="auto"/>
              <w:right w:val="single" w:sz="8" w:space="0" w:color="auto"/>
            </w:tcBorders>
            <w:shd w:val="clear" w:color="auto" w:fill="auto"/>
            <w:noWrap/>
            <w:vAlign w:val="center"/>
            <w:hideMark/>
          </w:tcPr>
          <w:p w14:paraId="54C5F778"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Standard Deviation</w:t>
            </w:r>
          </w:p>
        </w:tc>
        <w:tc>
          <w:tcPr>
            <w:tcW w:w="0" w:type="auto"/>
            <w:tcBorders>
              <w:top w:val="nil"/>
              <w:left w:val="nil"/>
              <w:bottom w:val="single" w:sz="8" w:space="0" w:color="auto"/>
              <w:right w:val="single" w:sz="8" w:space="0" w:color="auto"/>
            </w:tcBorders>
            <w:shd w:val="clear" w:color="auto" w:fill="auto"/>
            <w:noWrap/>
            <w:vAlign w:val="center"/>
            <w:hideMark/>
          </w:tcPr>
          <w:p w14:paraId="49B3A9FC"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Average</w:t>
            </w:r>
          </w:p>
        </w:tc>
        <w:tc>
          <w:tcPr>
            <w:tcW w:w="0" w:type="auto"/>
            <w:tcBorders>
              <w:top w:val="nil"/>
              <w:left w:val="nil"/>
              <w:bottom w:val="single" w:sz="8" w:space="0" w:color="auto"/>
              <w:right w:val="single" w:sz="8" w:space="0" w:color="auto"/>
            </w:tcBorders>
            <w:shd w:val="clear" w:color="auto" w:fill="auto"/>
            <w:noWrap/>
            <w:vAlign w:val="center"/>
            <w:hideMark/>
          </w:tcPr>
          <w:p w14:paraId="0C8CF7E6"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Standard Deviation</w:t>
            </w:r>
          </w:p>
        </w:tc>
      </w:tr>
      <w:tr w:rsidR="00ED379F" w:rsidRPr="00ED379F" w14:paraId="652B5B4A" w14:textId="77777777" w:rsidTr="00ED379F">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A99AEA"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ILEC</w:t>
            </w:r>
          </w:p>
        </w:tc>
        <w:tc>
          <w:tcPr>
            <w:tcW w:w="0" w:type="auto"/>
            <w:tcBorders>
              <w:top w:val="nil"/>
              <w:left w:val="nil"/>
              <w:bottom w:val="single" w:sz="8" w:space="0" w:color="auto"/>
              <w:right w:val="single" w:sz="8" w:space="0" w:color="auto"/>
            </w:tcBorders>
            <w:shd w:val="clear" w:color="auto" w:fill="auto"/>
            <w:noWrap/>
            <w:vAlign w:val="center"/>
            <w:hideMark/>
          </w:tcPr>
          <w:p w14:paraId="0CA8C326"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$25.5048 </w:t>
            </w:r>
          </w:p>
        </w:tc>
        <w:tc>
          <w:tcPr>
            <w:tcW w:w="0" w:type="auto"/>
            <w:tcBorders>
              <w:top w:val="nil"/>
              <w:left w:val="nil"/>
              <w:bottom w:val="single" w:sz="8" w:space="0" w:color="auto"/>
              <w:right w:val="single" w:sz="8" w:space="0" w:color="auto"/>
            </w:tcBorders>
            <w:shd w:val="clear" w:color="auto" w:fill="auto"/>
            <w:noWrap/>
            <w:vAlign w:val="center"/>
            <w:hideMark/>
          </w:tcPr>
          <w:p w14:paraId="41534EDD"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$8.5880 </w:t>
            </w:r>
          </w:p>
        </w:tc>
        <w:tc>
          <w:tcPr>
            <w:tcW w:w="0" w:type="auto"/>
            <w:tcBorders>
              <w:top w:val="nil"/>
              <w:left w:val="nil"/>
              <w:bottom w:val="single" w:sz="8" w:space="0" w:color="auto"/>
              <w:right w:val="single" w:sz="8" w:space="0" w:color="auto"/>
            </w:tcBorders>
            <w:shd w:val="clear" w:color="auto" w:fill="auto"/>
            <w:noWrap/>
            <w:vAlign w:val="center"/>
            <w:hideMark/>
          </w:tcPr>
          <w:p w14:paraId="340547C2"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$30.9262 </w:t>
            </w:r>
          </w:p>
        </w:tc>
        <w:tc>
          <w:tcPr>
            <w:tcW w:w="0" w:type="auto"/>
            <w:tcBorders>
              <w:top w:val="nil"/>
              <w:left w:val="nil"/>
              <w:bottom w:val="single" w:sz="8" w:space="0" w:color="auto"/>
              <w:right w:val="single" w:sz="8" w:space="0" w:color="auto"/>
            </w:tcBorders>
            <w:shd w:val="clear" w:color="auto" w:fill="auto"/>
            <w:noWrap/>
            <w:vAlign w:val="center"/>
            <w:hideMark/>
          </w:tcPr>
          <w:p w14:paraId="499E9E4A"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$7.3597 </w:t>
            </w:r>
          </w:p>
        </w:tc>
      </w:tr>
      <w:tr w:rsidR="00ED379F" w:rsidRPr="00ED379F" w14:paraId="119399BD" w14:textId="77777777" w:rsidTr="00ED379F">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B5A20FD"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Non-ILEC</w:t>
            </w:r>
          </w:p>
        </w:tc>
        <w:tc>
          <w:tcPr>
            <w:tcW w:w="0" w:type="auto"/>
            <w:tcBorders>
              <w:top w:val="nil"/>
              <w:left w:val="nil"/>
              <w:bottom w:val="single" w:sz="8" w:space="0" w:color="auto"/>
              <w:right w:val="single" w:sz="8" w:space="0" w:color="auto"/>
            </w:tcBorders>
            <w:shd w:val="clear" w:color="auto" w:fill="auto"/>
            <w:noWrap/>
            <w:vAlign w:val="center"/>
            <w:hideMark/>
          </w:tcPr>
          <w:p w14:paraId="5BB07475"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$26.2957 </w:t>
            </w:r>
          </w:p>
        </w:tc>
        <w:tc>
          <w:tcPr>
            <w:tcW w:w="0" w:type="auto"/>
            <w:tcBorders>
              <w:top w:val="nil"/>
              <w:left w:val="nil"/>
              <w:bottom w:val="single" w:sz="8" w:space="0" w:color="auto"/>
              <w:right w:val="single" w:sz="8" w:space="0" w:color="auto"/>
            </w:tcBorders>
            <w:shd w:val="clear" w:color="auto" w:fill="auto"/>
            <w:noWrap/>
            <w:vAlign w:val="center"/>
            <w:hideMark/>
          </w:tcPr>
          <w:p w14:paraId="1B709196"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$8.5388 </w:t>
            </w:r>
          </w:p>
        </w:tc>
        <w:tc>
          <w:tcPr>
            <w:tcW w:w="0" w:type="auto"/>
            <w:tcBorders>
              <w:top w:val="nil"/>
              <w:left w:val="nil"/>
              <w:bottom w:val="single" w:sz="8" w:space="0" w:color="auto"/>
              <w:right w:val="single" w:sz="8" w:space="0" w:color="auto"/>
            </w:tcBorders>
            <w:shd w:val="clear" w:color="auto" w:fill="auto"/>
            <w:noWrap/>
            <w:vAlign w:val="center"/>
            <w:hideMark/>
          </w:tcPr>
          <w:p w14:paraId="488DDC3E"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$29.2208 </w:t>
            </w:r>
          </w:p>
        </w:tc>
        <w:tc>
          <w:tcPr>
            <w:tcW w:w="0" w:type="auto"/>
            <w:tcBorders>
              <w:top w:val="nil"/>
              <w:left w:val="nil"/>
              <w:bottom w:val="single" w:sz="8" w:space="0" w:color="auto"/>
              <w:right w:val="single" w:sz="8" w:space="0" w:color="auto"/>
            </w:tcBorders>
            <w:shd w:val="clear" w:color="auto" w:fill="auto"/>
            <w:noWrap/>
            <w:vAlign w:val="center"/>
            <w:hideMark/>
          </w:tcPr>
          <w:p w14:paraId="05470B92"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$7.7792 </w:t>
            </w:r>
          </w:p>
        </w:tc>
      </w:tr>
      <w:tr w:rsidR="00ED379F" w:rsidRPr="00ED379F" w14:paraId="74AC66D8" w14:textId="77777777" w:rsidTr="00ED379F">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67D95E4" w14:textId="77777777" w:rsidR="00ED379F" w:rsidRPr="00ED379F" w:rsidRDefault="00ED379F" w:rsidP="00ED379F">
            <w:pPr>
              <w:spacing w:after="0" w:line="240" w:lineRule="auto"/>
              <w:rPr>
                <w:rFonts w:ascii="Times New Roman" w:eastAsia="Times New Roman" w:hAnsi="Times New Roman" w:cs="Times New Roman"/>
                <w:color w:val="000000"/>
              </w:rPr>
            </w:pPr>
            <w:r w:rsidRPr="00ED379F">
              <w:rPr>
                <w:rFonts w:ascii="Times New Roman" w:eastAsia="Times New Roman" w:hAnsi="Times New Roman" w:cs="Times New Roman"/>
                <w:color w:val="000000"/>
              </w:rPr>
              <w:t>All</w:t>
            </w:r>
          </w:p>
        </w:tc>
        <w:tc>
          <w:tcPr>
            <w:tcW w:w="0" w:type="auto"/>
            <w:tcBorders>
              <w:top w:val="nil"/>
              <w:left w:val="nil"/>
              <w:bottom w:val="single" w:sz="8" w:space="0" w:color="auto"/>
              <w:right w:val="single" w:sz="8" w:space="0" w:color="auto"/>
            </w:tcBorders>
            <w:shd w:val="clear" w:color="auto" w:fill="auto"/>
            <w:noWrap/>
            <w:vAlign w:val="center"/>
            <w:hideMark/>
          </w:tcPr>
          <w:p w14:paraId="7AEC2870"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$25.8074 </w:t>
            </w:r>
          </w:p>
        </w:tc>
        <w:tc>
          <w:tcPr>
            <w:tcW w:w="0" w:type="auto"/>
            <w:tcBorders>
              <w:top w:val="nil"/>
              <w:left w:val="nil"/>
              <w:bottom w:val="single" w:sz="8" w:space="0" w:color="auto"/>
              <w:right w:val="single" w:sz="8" w:space="0" w:color="auto"/>
            </w:tcBorders>
            <w:shd w:val="clear" w:color="auto" w:fill="auto"/>
            <w:noWrap/>
            <w:vAlign w:val="center"/>
            <w:hideMark/>
          </w:tcPr>
          <w:p w14:paraId="50D83E02"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$8.5629 </w:t>
            </w:r>
          </w:p>
        </w:tc>
        <w:tc>
          <w:tcPr>
            <w:tcW w:w="0" w:type="auto"/>
            <w:tcBorders>
              <w:top w:val="nil"/>
              <w:left w:val="nil"/>
              <w:bottom w:val="single" w:sz="8" w:space="0" w:color="auto"/>
              <w:right w:val="single" w:sz="8" w:space="0" w:color="auto"/>
            </w:tcBorders>
            <w:shd w:val="clear" w:color="auto" w:fill="auto"/>
            <w:noWrap/>
            <w:vAlign w:val="center"/>
            <w:hideMark/>
          </w:tcPr>
          <w:p w14:paraId="12CFAD2B"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$30.2737 </w:t>
            </w:r>
          </w:p>
        </w:tc>
        <w:tc>
          <w:tcPr>
            <w:tcW w:w="0" w:type="auto"/>
            <w:tcBorders>
              <w:top w:val="nil"/>
              <w:left w:val="nil"/>
              <w:bottom w:val="single" w:sz="8" w:space="0" w:color="auto"/>
              <w:right w:val="single" w:sz="8" w:space="0" w:color="auto"/>
            </w:tcBorders>
            <w:shd w:val="clear" w:color="auto" w:fill="auto"/>
            <w:noWrap/>
            <w:vAlign w:val="center"/>
            <w:hideMark/>
          </w:tcPr>
          <w:p w14:paraId="44330750" w14:textId="77777777" w:rsidR="00ED379F" w:rsidRPr="00ED379F" w:rsidRDefault="00ED379F" w:rsidP="00ED379F">
            <w:pPr>
              <w:spacing w:after="0" w:line="240" w:lineRule="auto"/>
              <w:jc w:val="center"/>
              <w:rPr>
                <w:rFonts w:ascii="Times New Roman" w:eastAsia="Times New Roman" w:hAnsi="Times New Roman" w:cs="Times New Roman"/>
                <w:color w:val="000000"/>
              </w:rPr>
            </w:pPr>
            <w:r w:rsidRPr="00ED379F">
              <w:rPr>
                <w:rFonts w:ascii="Times New Roman" w:eastAsia="Times New Roman" w:hAnsi="Times New Roman" w:cs="Times New Roman"/>
                <w:color w:val="000000"/>
              </w:rPr>
              <w:t xml:space="preserve">$7.5549 </w:t>
            </w:r>
          </w:p>
        </w:tc>
      </w:tr>
    </w:tbl>
    <w:p w14:paraId="04747E52" w14:textId="77777777" w:rsidR="005A5431" w:rsidRPr="00AC2BC7" w:rsidRDefault="0074079C" w:rsidP="00121172">
      <w:pPr>
        <w:spacing w:before="240" w:line="240" w:lineRule="auto"/>
        <w:rPr>
          <w:rFonts w:ascii="Times New Roman" w:hAnsi="Times New Roman" w:cs="Times New Roman"/>
          <w:b/>
        </w:rPr>
      </w:pPr>
      <w:r w:rsidRPr="00AC2BC7">
        <w:rPr>
          <w:rFonts w:ascii="Times New Roman" w:hAnsi="Times New Roman" w:cs="Times New Roman"/>
          <w:b/>
        </w:rPr>
        <w:t>Rate Floor</w:t>
      </w:r>
    </w:p>
    <w:p w14:paraId="041EBE8C" w14:textId="59EBDB91" w:rsidR="0074079C" w:rsidRPr="00AC2BC7" w:rsidRDefault="00407AEE" w:rsidP="00121172">
      <w:pPr>
        <w:spacing w:line="240" w:lineRule="auto"/>
        <w:rPr>
          <w:rFonts w:ascii="Times New Roman" w:hAnsi="Times New Roman" w:cs="Times New Roman"/>
        </w:rPr>
      </w:pPr>
      <w:r w:rsidRPr="00AC2BC7">
        <w:rPr>
          <w:rFonts w:ascii="Times New Roman" w:hAnsi="Times New Roman" w:cs="Times New Roman"/>
        </w:rPr>
        <w:t xml:space="preserve">As determined by the Commission in the </w:t>
      </w:r>
      <w:r w:rsidRPr="00AC2BC7">
        <w:rPr>
          <w:rFonts w:ascii="Times New Roman" w:hAnsi="Times New Roman" w:cs="Times New Roman"/>
          <w:i/>
        </w:rPr>
        <w:t>USF/ICC Transformation Order</w:t>
      </w:r>
      <w:r w:rsidR="0074079C" w:rsidRPr="00AC2BC7">
        <w:rPr>
          <w:rFonts w:ascii="Times New Roman" w:hAnsi="Times New Roman" w:cs="Times New Roman"/>
        </w:rPr>
        <w:t>,</w:t>
      </w:r>
      <w:r w:rsidR="006239FF" w:rsidRPr="00AC2BC7">
        <w:rPr>
          <w:rStyle w:val="FootnoteReference"/>
          <w:rFonts w:ascii="Times New Roman" w:hAnsi="Times New Roman" w:cs="Times New Roman"/>
        </w:rPr>
        <w:footnoteReference w:id="16"/>
      </w:r>
      <w:r w:rsidR="0074079C" w:rsidRPr="00AC2BC7">
        <w:rPr>
          <w:rFonts w:ascii="Times New Roman" w:hAnsi="Times New Roman" w:cs="Times New Roman"/>
        </w:rPr>
        <w:t xml:space="preserve"> the rate floor is based on the average monthly rate (excluding FSLC) for </w:t>
      </w:r>
      <w:r w:rsidR="00C27AC6" w:rsidRPr="00AC2BC7">
        <w:rPr>
          <w:rFonts w:ascii="Times New Roman" w:hAnsi="Times New Roman" w:cs="Times New Roman"/>
        </w:rPr>
        <w:t>unlimited or flat-rate local service</w:t>
      </w:r>
      <w:r w:rsidR="0074079C" w:rsidRPr="00AC2BC7">
        <w:rPr>
          <w:rFonts w:ascii="Times New Roman" w:hAnsi="Times New Roman" w:cs="Times New Roman"/>
        </w:rPr>
        <w:t xml:space="preserve">. </w:t>
      </w:r>
      <w:r w:rsidR="00D8028F" w:rsidRPr="00AC2BC7">
        <w:rPr>
          <w:rFonts w:ascii="Times New Roman" w:hAnsi="Times New Roman" w:cs="Times New Roman"/>
        </w:rPr>
        <w:t xml:space="preserve">For </w:t>
      </w:r>
      <w:r w:rsidR="00F0723E">
        <w:rPr>
          <w:rFonts w:ascii="Times New Roman" w:hAnsi="Times New Roman" w:cs="Times New Roman"/>
        </w:rPr>
        <w:t>2018</w:t>
      </w:r>
      <w:r w:rsidR="00D8028F" w:rsidRPr="00AC2BC7">
        <w:rPr>
          <w:rFonts w:ascii="Times New Roman" w:hAnsi="Times New Roman" w:cs="Times New Roman"/>
        </w:rPr>
        <w:t>, the rate floor is</w:t>
      </w:r>
      <w:r w:rsidR="0074079C" w:rsidRPr="00AC2BC7">
        <w:rPr>
          <w:rFonts w:ascii="Times New Roman" w:hAnsi="Times New Roman" w:cs="Times New Roman"/>
        </w:rPr>
        <w:t xml:space="preserve"> </w:t>
      </w:r>
      <w:r w:rsidR="003B2F5F" w:rsidRPr="00AC2BC7">
        <w:rPr>
          <w:rFonts w:ascii="Times New Roman" w:hAnsi="Times New Roman" w:cs="Times New Roman"/>
        </w:rPr>
        <w:t>$</w:t>
      </w:r>
      <w:r w:rsidR="00ED379F">
        <w:rPr>
          <w:rFonts w:ascii="Times New Roman" w:hAnsi="Times New Roman" w:cs="Times New Roman"/>
        </w:rPr>
        <w:t>25.50</w:t>
      </w:r>
      <w:r w:rsidR="0034488A" w:rsidRPr="00AC2BC7">
        <w:rPr>
          <w:rFonts w:ascii="Times New Roman" w:hAnsi="Times New Roman" w:cs="Times New Roman"/>
        </w:rPr>
        <w:t>,</w:t>
      </w:r>
      <w:r w:rsidR="0074079C" w:rsidRPr="00AC2BC7">
        <w:rPr>
          <w:rFonts w:ascii="Times New Roman" w:hAnsi="Times New Roman" w:cs="Times New Roman"/>
        </w:rPr>
        <w:t xml:space="preserve"> with a 95% confidence interval of </w:t>
      </w:r>
      <w:r w:rsidR="00BD16D2" w:rsidRPr="00A418A6">
        <w:rPr>
          <w:rFonts w:ascii="Times New Roman" w:hAnsi="Times New Roman" w:cs="Times New Roman"/>
          <w:color w:val="000000" w:themeColor="text1"/>
        </w:rPr>
        <w:t>($24.58, $26.43)</w:t>
      </w:r>
      <w:r w:rsidR="00BD16D2">
        <w:rPr>
          <w:rFonts w:ascii="Times New Roman" w:hAnsi="Times New Roman" w:cs="Times New Roman"/>
          <w:color w:val="000000" w:themeColor="text1"/>
        </w:rPr>
        <w:t>.</w:t>
      </w:r>
      <w:r w:rsidR="006F2FA8">
        <w:rPr>
          <w:rFonts w:ascii="Times New Roman" w:hAnsi="Times New Roman" w:cs="Times New Roman"/>
          <w:color w:val="000000" w:themeColor="text1"/>
        </w:rPr>
        <w:t xml:space="preserve">  As noted above, the Commission has temporarily frozen the rate at which carriers are subject to support reductions at $18 while it determines whether the rate floor methodology should be modified or whether the rate floor should be eliminated.</w:t>
      </w:r>
    </w:p>
    <w:p w14:paraId="09BC1F52" w14:textId="183FEA6A" w:rsidR="00D86735" w:rsidRPr="00AC2BC7" w:rsidRDefault="00DC4D75" w:rsidP="00121172">
      <w:pPr>
        <w:spacing w:line="240" w:lineRule="auto"/>
        <w:rPr>
          <w:rFonts w:ascii="Times New Roman" w:hAnsi="Times New Roman" w:cs="Times New Roman"/>
        </w:rPr>
      </w:pPr>
      <w:r w:rsidRPr="00AC2BC7">
        <w:rPr>
          <w:rFonts w:ascii="Times New Roman" w:hAnsi="Times New Roman" w:cs="Times New Roman"/>
        </w:rPr>
        <w:t xml:space="preserve">The confidence interval was calculated by finding the weighted average monthly rate (excluding FSLC) for </w:t>
      </w:r>
      <w:r w:rsidR="00C27AC6" w:rsidRPr="00AC2BC7">
        <w:rPr>
          <w:rFonts w:ascii="Times New Roman" w:hAnsi="Times New Roman" w:cs="Times New Roman"/>
        </w:rPr>
        <w:t xml:space="preserve">unlimited or flat-rate local service </w:t>
      </w:r>
      <w:r w:rsidRPr="00AC2BC7">
        <w:rPr>
          <w:rFonts w:ascii="Times New Roman" w:hAnsi="Times New Roman" w:cs="Times New Roman"/>
        </w:rPr>
        <w:t xml:space="preserve">offered by ILECs in each of the </w:t>
      </w:r>
      <w:r w:rsidR="004B5536">
        <w:rPr>
          <w:rFonts w:ascii="Times New Roman" w:hAnsi="Times New Roman" w:cs="Times New Roman"/>
        </w:rPr>
        <w:t>207</w:t>
      </w:r>
      <w:r w:rsidR="00A14E98" w:rsidRPr="00AC2BC7">
        <w:rPr>
          <w:rFonts w:ascii="Times New Roman" w:hAnsi="Times New Roman" w:cs="Times New Roman"/>
        </w:rPr>
        <w:t xml:space="preserve"> </w:t>
      </w:r>
      <w:r w:rsidRPr="00AC2BC7">
        <w:rPr>
          <w:rFonts w:ascii="Times New Roman" w:hAnsi="Times New Roman" w:cs="Times New Roman"/>
        </w:rPr>
        <w:t>census tracts in the ILEC stratum.</w:t>
      </w:r>
      <w:r w:rsidR="00503F26" w:rsidRPr="00AC2BC7">
        <w:rPr>
          <w:rFonts w:ascii="Times New Roman" w:hAnsi="Times New Roman" w:cs="Times New Roman"/>
        </w:rPr>
        <w:t xml:space="preserve"> </w:t>
      </w:r>
      <w:r w:rsidRPr="00AC2BC7">
        <w:rPr>
          <w:rFonts w:ascii="Times New Roman" w:hAnsi="Times New Roman" w:cs="Times New Roman"/>
        </w:rPr>
        <w:t xml:space="preserve">The standard deviation of the average </w:t>
      </w:r>
      <w:r w:rsidR="003239D9" w:rsidRPr="00AC2BC7">
        <w:rPr>
          <w:rFonts w:ascii="Times New Roman" w:hAnsi="Times New Roman" w:cs="Times New Roman"/>
        </w:rPr>
        <w:t xml:space="preserve">rate </w:t>
      </w:r>
      <w:r w:rsidRPr="00AC2BC7">
        <w:rPr>
          <w:rFonts w:ascii="Times New Roman" w:hAnsi="Times New Roman" w:cs="Times New Roman"/>
        </w:rPr>
        <w:t xml:space="preserve">is the standard deviation of these </w:t>
      </w:r>
      <w:r w:rsidR="003239D9" w:rsidRPr="00AC2BC7">
        <w:rPr>
          <w:rFonts w:ascii="Times New Roman" w:hAnsi="Times New Roman" w:cs="Times New Roman"/>
        </w:rPr>
        <w:t xml:space="preserve">census tract </w:t>
      </w:r>
      <w:r w:rsidRPr="00AC2BC7">
        <w:rPr>
          <w:rFonts w:ascii="Times New Roman" w:hAnsi="Times New Roman" w:cs="Times New Roman"/>
        </w:rPr>
        <w:t>average rates divid</w:t>
      </w:r>
      <w:r w:rsidR="00D23471" w:rsidRPr="00AC2BC7">
        <w:rPr>
          <w:rFonts w:ascii="Times New Roman" w:hAnsi="Times New Roman" w:cs="Times New Roman"/>
        </w:rPr>
        <w:t xml:space="preserve">ed </w:t>
      </w:r>
      <w:r w:rsidRPr="00AC2BC7">
        <w:rPr>
          <w:rFonts w:ascii="Times New Roman" w:hAnsi="Times New Roman" w:cs="Times New Roman"/>
        </w:rPr>
        <w:t xml:space="preserve">by the square root of </w:t>
      </w:r>
      <w:r w:rsidR="004B5536">
        <w:rPr>
          <w:rFonts w:ascii="Times New Roman" w:hAnsi="Times New Roman" w:cs="Times New Roman"/>
        </w:rPr>
        <w:t>207</w:t>
      </w:r>
      <w:r w:rsidRPr="00AC2BC7">
        <w:rPr>
          <w:rFonts w:ascii="Times New Roman" w:hAnsi="Times New Roman" w:cs="Times New Roman"/>
        </w:rPr>
        <w:t>.</w:t>
      </w:r>
      <w:r w:rsidR="00503F26" w:rsidRPr="00AC2BC7">
        <w:rPr>
          <w:rFonts w:ascii="Times New Roman" w:hAnsi="Times New Roman" w:cs="Times New Roman"/>
        </w:rPr>
        <w:t xml:space="preserve"> </w:t>
      </w:r>
      <w:r w:rsidR="003239D9" w:rsidRPr="00AC2BC7">
        <w:rPr>
          <w:rFonts w:ascii="Times New Roman" w:hAnsi="Times New Roman" w:cs="Times New Roman"/>
        </w:rPr>
        <w:t xml:space="preserve">The 95% confidence interval for the average rate was calculated as the average rate plus or minus the standard deviation of the average times the 0.975 quantile of Student’s </w:t>
      </w:r>
      <w:r w:rsidR="003239D9" w:rsidRPr="00AC2BC7">
        <w:rPr>
          <w:rFonts w:ascii="Times New Roman" w:hAnsi="Times New Roman" w:cs="Times New Roman"/>
          <w:i/>
        </w:rPr>
        <w:t>t</w:t>
      </w:r>
      <w:r w:rsidR="003239D9" w:rsidRPr="00AC2BC7">
        <w:rPr>
          <w:rFonts w:ascii="Times New Roman" w:hAnsi="Times New Roman" w:cs="Times New Roman"/>
        </w:rPr>
        <w:t xml:space="preserve"> distribution with degrees of freedom equal to </w:t>
      </w:r>
      <w:r w:rsidR="004B5536">
        <w:rPr>
          <w:rFonts w:ascii="Times New Roman" w:hAnsi="Times New Roman" w:cs="Times New Roman"/>
        </w:rPr>
        <w:t>206</w:t>
      </w:r>
      <w:r w:rsidR="003239D9" w:rsidRPr="00AC2BC7">
        <w:rPr>
          <w:rFonts w:ascii="Times New Roman" w:hAnsi="Times New Roman" w:cs="Times New Roman"/>
        </w:rPr>
        <w:t>.</w:t>
      </w:r>
    </w:p>
    <w:p w14:paraId="288D0228" w14:textId="76381308" w:rsidR="0074079C" w:rsidRPr="00AC2BC7" w:rsidRDefault="009838AA" w:rsidP="00121172">
      <w:pPr>
        <w:spacing w:line="240" w:lineRule="auto"/>
        <w:rPr>
          <w:rFonts w:ascii="Times New Roman" w:hAnsi="Times New Roman" w:cs="Times New Roman"/>
          <w:b/>
        </w:rPr>
      </w:pPr>
      <w:r w:rsidRPr="00AC2BC7">
        <w:rPr>
          <w:rFonts w:ascii="Times New Roman" w:hAnsi="Times New Roman" w:cs="Times New Roman"/>
          <w:b/>
        </w:rPr>
        <w:t xml:space="preserve">Reasonable </w:t>
      </w:r>
      <w:r w:rsidR="0074079C" w:rsidRPr="00AC2BC7">
        <w:rPr>
          <w:rFonts w:ascii="Times New Roman" w:hAnsi="Times New Roman" w:cs="Times New Roman"/>
          <w:b/>
        </w:rPr>
        <w:t>Comparability Benchmark</w:t>
      </w:r>
    </w:p>
    <w:p w14:paraId="31A365DC" w14:textId="77777777" w:rsidR="00D86735" w:rsidRPr="00AC2BC7" w:rsidRDefault="00D86735" w:rsidP="00121172">
      <w:pPr>
        <w:spacing w:line="240" w:lineRule="auto"/>
        <w:rPr>
          <w:rFonts w:ascii="Times New Roman" w:hAnsi="Times New Roman" w:cs="Times New Roman"/>
        </w:rPr>
      </w:pPr>
      <w:r w:rsidRPr="00AC2BC7">
        <w:rPr>
          <w:rFonts w:ascii="Times New Roman" w:hAnsi="Times New Roman" w:cs="Times New Roman"/>
        </w:rPr>
        <w:t>The reasonable comparability benchmark was calculated by taking two standard deviations above the average urban rate for all local flat-rate providers, with SLCs included in the rates.</w:t>
      </w:r>
    </w:p>
    <w:tbl>
      <w:tblPr>
        <w:tblW w:w="5000" w:type="pct"/>
        <w:jc w:val="center"/>
        <w:tblLook w:val="04A0" w:firstRow="1" w:lastRow="0" w:firstColumn="1" w:lastColumn="0" w:noHBand="0" w:noVBand="1"/>
      </w:tblPr>
      <w:tblGrid>
        <w:gridCol w:w="2305"/>
        <w:gridCol w:w="1439"/>
        <w:gridCol w:w="1209"/>
        <w:gridCol w:w="1007"/>
        <w:gridCol w:w="983"/>
        <w:gridCol w:w="2397"/>
      </w:tblGrid>
      <w:tr w:rsidR="00C95101" w:rsidRPr="00C95101" w14:paraId="4848F2F3" w14:textId="77777777" w:rsidTr="00C95101">
        <w:trPr>
          <w:trHeight w:val="315"/>
          <w:jc w:val="center"/>
        </w:trPr>
        <w:tc>
          <w:tcPr>
            <w:tcW w:w="1254" w:type="pct"/>
            <w:tcBorders>
              <w:top w:val="single" w:sz="8" w:space="0" w:color="auto"/>
              <w:left w:val="single" w:sz="8" w:space="0" w:color="auto"/>
              <w:bottom w:val="double" w:sz="6" w:space="0" w:color="auto"/>
              <w:right w:val="single" w:sz="8" w:space="0" w:color="auto"/>
            </w:tcBorders>
            <w:shd w:val="clear" w:color="auto" w:fill="auto"/>
            <w:noWrap/>
            <w:vAlign w:val="center"/>
            <w:hideMark/>
          </w:tcPr>
          <w:p w14:paraId="7606C8DF"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Service Type</w:t>
            </w:r>
          </w:p>
        </w:tc>
        <w:tc>
          <w:tcPr>
            <w:tcW w:w="762" w:type="pct"/>
            <w:tcBorders>
              <w:top w:val="single" w:sz="8" w:space="0" w:color="auto"/>
              <w:left w:val="nil"/>
              <w:bottom w:val="double" w:sz="6" w:space="0" w:color="auto"/>
              <w:right w:val="single" w:sz="8" w:space="0" w:color="auto"/>
            </w:tcBorders>
            <w:shd w:val="clear" w:color="auto" w:fill="auto"/>
            <w:noWrap/>
            <w:vAlign w:val="center"/>
            <w:hideMark/>
          </w:tcPr>
          <w:p w14:paraId="7D551ADA"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Responses with Rates</w:t>
            </w:r>
          </w:p>
        </w:tc>
        <w:tc>
          <w:tcPr>
            <w:tcW w:w="616" w:type="pct"/>
            <w:tcBorders>
              <w:top w:val="single" w:sz="8" w:space="0" w:color="auto"/>
              <w:left w:val="nil"/>
              <w:bottom w:val="double" w:sz="6" w:space="0" w:color="auto"/>
              <w:right w:val="single" w:sz="8" w:space="0" w:color="auto"/>
            </w:tcBorders>
            <w:shd w:val="clear" w:color="auto" w:fill="auto"/>
            <w:noWrap/>
            <w:vAlign w:val="center"/>
            <w:hideMark/>
          </w:tcPr>
          <w:p w14:paraId="44F42989"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Service Providers</w:t>
            </w:r>
          </w:p>
        </w:tc>
        <w:tc>
          <w:tcPr>
            <w:tcW w:w="513" w:type="pct"/>
            <w:tcBorders>
              <w:top w:val="single" w:sz="8" w:space="0" w:color="auto"/>
              <w:left w:val="nil"/>
              <w:bottom w:val="double" w:sz="6" w:space="0" w:color="auto"/>
              <w:right w:val="single" w:sz="8" w:space="0" w:color="auto"/>
            </w:tcBorders>
            <w:shd w:val="clear" w:color="auto" w:fill="auto"/>
            <w:noWrap/>
            <w:vAlign w:val="center"/>
            <w:hideMark/>
          </w:tcPr>
          <w:p w14:paraId="65EA4ED9"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Census Tracts</w:t>
            </w:r>
          </w:p>
        </w:tc>
        <w:tc>
          <w:tcPr>
            <w:tcW w:w="499" w:type="pct"/>
            <w:tcBorders>
              <w:top w:val="single" w:sz="8" w:space="0" w:color="auto"/>
              <w:left w:val="nil"/>
              <w:bottom w:val="double" w:sz="6" w:space="0" w:color="auto"/>
              <w:right w:val="single" w:sz="8" w:space="0" w:color="auto"/>
            </w:tcBorders>
            <w:shd w:val="clear" w:color="auto" w:fill="auto"/>
            <w:noWrap/>
            <w:vAlign w:val="center"/>
            <w:hideMark/>
          </w:tcPr>
          <w:p w14:paraId="68DFD21E"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Average Rate</w:t>
            </w:r>
          </w:p>
        </w:tc>
        <w:tc>
          <w:tcPr>
            <w:tcW w:w="1356" w:type="pct"/>
            <w:tcBorders>
              <w:top w:val="single" w:sz="8" w:space="0" w:color="auto"/>
              <w:left w:val="nil"/>
              <w:bottom w:val="double" w:sz="6" w:space="0" w:color="auto"/>
              <w:right w:val="single" w:sz="8" w:space="0" w:color="auto"/>
            </w:tcBorders>
            <w:shd w:val="clear" w:color="auto" w:fill="auto"/>
            <w:noWrap/>
            <w:vAlign w:val="center"/>
            <w:hideMark/>
          </w:tcPr>
          <w:p w14:paraId="6D8CA954"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 xml:space="preserve">Two </w:t>
            </w:r>
            <w:proofErr w:type="spellStart"/>
            <w:r w:rsidRPr="00C95101">
              <w:rPr>
                <w:rFonts w:ascii="Times New Roman" w:eastAsia="Times New Roman" w:hAnsi="Times New Roman" w:cs="Times New Roman"/>
                <w:color w:val="000000"/>
              </w:rPr>
              <w:t>Std</w:t>
            </w:r>
            <w:proofErr w:type="spellEnd"/>
            <w:r w:rsidRPr="00C95101">
              <w:rPr>
                <w:rFonts w:ascii="Times New Roman" w:eastAsia="Times New Roman" w:hAnsi="Times New Roman" w:cs="Times New Roman"/>
                <w:color w:val="000000"/>
              </w:rPr>
              <w:t xml:space="preserve"> </w:t>
            </w:r>
            <w:proofErr w:type="spellStart"/>
            <w:r w:rsidRPr="00C95101">
              <w:rPr>
                <w:rFonts w:ascii="Times New Roman" w:eastAsia="Times New Roman" w:hAnsi="Times New Roman" w:cs="Times New Roman"/>
                <w:color w:val="000000"/>
              </w:rPr>
              <w:t>Devs</w:t>
            </w:r>
            <w:proofErr w:type="spellEnd"/>
            <w:r w:rsidRPr="00C95101">
              <w:rPr>
                <w:rFonts w:ascii="Times New Roman" w:eastAsia="Times New Roman" w:hAnsi="Times New Roman" w:cs="Times New Roman"/>
                <w:color w:val="000000"/>
              </w:rPr>
              <w:t xml:space="preserve"> above the Average Rate</w:t>
            </w:r>
          </w:p>
        </w:tc>
      </w:tr>
      <w:tr w:rsidR="00C95101" w:rsidRPr="00C95101" w14:paraId="4CE66402" w14:textId="77777777" w:rsidTr="00C95101">
        <w:trPr>
          <w:trHeight w:val="330"/>
          <w:jc w:val="center"/>
        </w:trPr>
        <w:tc>
          <w:tcPr>
            <w:tcW w:w="1254" w:type="pct"/>
            <w:tcBorders>
              <w:top w:val="nil"/>
              <w:left w:val="single" w:sz="8" w:space="0" w:color="auto"/>
              <w:bottom w:val="single" w:sz="8" w:space="0" w:color="auto"/>
              <w:right w:val="single" w:sz="8" w:space="0" w:color="auto"/>
            </w:tcBorders>
            <w:shd w:val="clear" w:color="auto" w:fill="auto"/>
            <w:noWrap/>
            <w:vAlign w:val="center"/>
            <w:hideMark/>
          </w:tcPr>
          <w:p w14:paraId="319D42CC"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Unlimited or Flat-Rate Local Service</w:t>
            </w:r>
          </w:p>
        </w:tc>
        <w:tc>
          <w:tcPr>
            <w:tcW w:w="762" w:type="pct"/>
            <w:tcBorders>
              <w:top w:val="nil"/>
              <w:left w:val="nil"/>
              <w:bottom w:val="single" w:sz="8" w:space="0" w:color="auto"/>
              <w:right w:val="single" w:sz="8" w:space="0" w:color="auto"/>
            </w:tcBorders>
            <w:shd w:val="clear" w:color="auto" w:fill="auto"/>
            <w:noWrap/>
            <w:vAlign w:val="center"/>
            <w:hideMark/>
          </w:tcPr>
          <w:p w14:paraId="791862E0"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304</w:t>
            </w:r>
          </w:p>
        </w:tc>
        <w:tc>
          <w:tcPr>
            <w:tcW w:w="616" w:type="pct"/>
            <w:tcBorders>
              <w:top w:val="nil"/>
              <w:left w:val="nil"/>
              <w:bottom w:val="single" w:sz="8" w:space="0" w:color="auto"/>
              <w:right w:val="single" w:sz="8" w:space="0" w:color="auto"/>
            </w:tcBorders>
            <w:shd w:val="clear" w:color="auto" w:fill="auto"/>
            <w:noWrap/>
            <w:vAlign w:val="center"/>
            <w:hideMark/>
          </w:tcPr>
          <w:p w14:paraId="37961241"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43</w:t>
            </w:r>
          </w:p>
        </w:tc>
        <w:tc>
          <w:tcPr>
            <w:tcW w:w="513" w:type="pct"/>
            <w:tcBorders>
              <w:top w:val="nil"/>
              <w:left w:val="nil"/>
              <w:bottom w:val="single" w:sz="8" w:space="0" w:color="auto"/>
              <w:right w:val="single" w:sz="8" w:space="0" w:color="auto"/>
            </w:tcBorders>
            <w:shd w:val="clear" w:color="auto" w:fill="auto"/>
            <w:noWrap/>
            <w:vAlign w:val="center"/>
            <w:hideMark/>
          </w:tcPr>
          <w:p w14:paraId="13470A3A"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304</w:t>
            </w:r>
          </w:p>
        </w:tc>
        <w:tc>
          <w:tcPr>
            <w:tcW w:w="499" w:type="pct"/>
            <w:tcBorders>
              <w:top w:val="nil"/>
              <w:left w:val="nil"/>
              <w:bottom w:val="single" w:sz="8" w:space="0" w:color="auto"/>
              <w:right w:val="single" w:sz="8" w:space="0" w:color="auto"/>
            </w:tcBorders>
            <w:shd w:val="clear" w:color="auto" w:fill="auto"/>
            <w:noWrap/>
            <w:vAlign w:val="center"/>
            <w:hideMark/>
          </w:tcPr>
          <w:p w14:paraId="276018E8"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 xml:space="preserve">$30.27 </w:t>
            </w:r>
          </w:p>
        </w:tc>
        <w:tc>
          <w:tcPr>
            <w:tcW w:w="1356" w:type="pct"/>
            <w:tcBorders>
              <w:top w:val="nil"/>
              <w:left w:val="nil"/>
              <w:bottom w:val="single" w:sz="8" w:space="0" w:color="auto"/>
              <w:right w:val="single" w:sz="8" w:space="0" w:color="auto"/>
            </w:tcBorders>
            <w:shd w:val="clear" w:color="auto" w:fill="auto"/>
            <w:noWrap/>
            <w:vAlign w:val="center"/>
            <w:hideMark/>
          </w:tcPr>
          <w:p w14:paraId="2CA83AD9" w14:textId="77777777" w:rsidR="00C95101" w:rsidRPr="00C95101" w:rsidRDefault="00C95101" w:rsidP="00C95101">
            <w:pPr>
              <w:spacing w:after="0" w:line="240" w:lineRule="auto"/>
              <w:jc w:val="center"/>
              <w:rPr>
                <w:rFonts w:ascii="Times New Roman" w:eastAsia="Times New Roman" w:hAnsi="Times New Roman" w:cs="Times New Roman"/>
                <w:color w:val="000000"/>
              </w:rPr>
            </w:pPr>
            <w:r w:rsidRPr="00C95101">
              <w:rPr>
                <w:rFonts w:ascii="Times New Roman" w:eastAsia="Times New Roman" w:hAnsi="Times New Roman" w:cs="Times New Roman"/>
                <w:color w:val="000000"/>
              </w:rPr>
              <w:t xml:space="preserve">$45.38 </w:t>
            </w:r>
          </w:p>
        </w:tc>
      </w:tr>
    </w:tbl>
    <w:p w14:paraId="35DF671C" w14:textId="77777777" w:rsidR="00D86735" w:rsidRPr="00AC2BC7" w:rsidRDefault="00D86735" w:rsidP="0074079C">
      <w:pPr>
        <w:rPr>
          <w:rFonts w:ascii="Times New Roman" w:hAnsi="Times New Roman" w:cs="Times New Roman"/>
        </w:rPr>
      </w:pPr>
    </w:p>
    <w:p w14:paraId="26ED14F8" w14:textId="456F3FE6" w:rsidR="002D7081" w:rsidRPr="00AC2BC7" w:rsidRDefault="00F549ED" w:rsidP="00CC4B8D">
      <w:pPr>
        <w:rPr>
          <w:rFonts w:ascii="Times New Roman" w:hAnsi="Times New Roman" w:cs="Times New Roman"/>
        </w:rPr>
      </w:pPr>
      <w:r w:rsidRPr="00AC2BC7" w:rsidDel="00F549ED">
        <w:rPr>
          <w:rStyle w:val="FootnoteReference"/>
          <w:rFonts w:ascii="Times New Roman" w:hAnsi="Times New Roman" w:cs="Times New Roman"/>
        </w:rPr>
        <w:t xml:space="preserve"> </w:t>
      </w:r>
      <w:r w:rsidRPr="00AC2BC7">
        <w:rPr>
          <w:rFonts w:ascii="Times New Roman" w:hAnsi="Times New Roman" w:cs="Times New Roman"/>
        </w:rPr>
        <w:t>T</w:t>
      </w:r>
      <w:r w:rsidR="0074079C" w:rsidRPr="00AC2BC7">
        <w:rPr>
          <w:rFonts w:ascii="Times New Roman" w:hAnsi="Times New Roman" w:cs="Times New Roman"/>
        </w:rPr>
        <w:t xml:space="preserve">he reasonable comparability benchmark </w:t>
      </w:r>
      <w:r w:rsidR="00722A3F" w:rsidRPr="00AC2BC7">
        <w:rPr>
          <w:rFonts w:ascii="Times New Roman" w:hAnsi="Times New Roman" w:cs="Times New Roman"/>
        </w:rPr>
        <w:t xml:space="preserve">for voice service </w:t>
      </w:r>
      <w:r w:rsidR="0074079C" w:rsidRPr="00AC2BC7">
        <w:rPr>
          <w:rFonts w:ascii="Times New Roman" w:hAnsi="Times New Roman" w:cs="Times New Roman"/>
        </w:rPr>
        <w:t xml:space="preserve">is based on the average monthly rate plus two standard deviations (including FSLC) for </w:t>
      </w:r>
      <w:r w:rsidR="00C27AC6" w:rsidRPr="00AC2BC7">
        <w:rPr>
          <w:rFonts w:ascii="Times New Roman" w:hAnsi="Times New Roman" w:cs="Times New Roman"/>
        </w:rPr>
        <w:t xml:space="preserve">unlimited or flat-rate local service </w:t>
      </w:r>
      <w:r w:rsidR="0074079C" w:rsidRPr="00AC2BC7">
        <w:rPr>
          <w:rFonts w:ascii="Times New Roman" w:hAnsi="Times New Roman" w:cs="Times New Roman"/>
        </w:rPr>
        <w:t>offered by ILECs and non-ILECs.</w:t>
      </w:r>
      <w:r w:rsidRPr="00AC2BC7">
        <w:rPr>
          <w:rStyle w:val="FootnoteReference"/>
          <w:rFonts w:ascii="Times New Roman" w:hAnsi="Times New Roman" w:cs="Times New Roman"/>
        </w:rPr>
        <w:t xml:space="preserve"> </w:t>
      </w:r>
      <w:r w:rsidRPr="00AC2BC7">
        <w:rPr>
          <w:rStyle w:val="FootnoteReference"/>
          <w:rFonts w:ascii="Times New Roman" w:hAnsi="Times New Roman" w:cs="Times New Roman"/>
        </w:rPr>
        <w:footnoteReference w:id="17"/>
      </w:r>
      <w:r w:rsidR="0074079C" w:rsidRPr="00AC2BC7">
        <w:rPr>
          <w:rFonts w:ascii="Times New Roman" w:hAnsi="Times New Roman" w:cs="Times New Roman"/>
        </w:rPr>
        <w:t xml:space="preserve"> </w:t>
      </w:r>
      <w:r w:rsidR="001638F3" w:rsidRPr="00AC2BC7">
        <w:rPr>
          <w:rFonts w:ascii="Times New Roman" w:hAnsi="Times New Roman" w:cs="Times New Roman"/>
        </w:rPr>
        <w:t>This value is $</w:t>
      </w:r>
      <w:r w:rsidR="00C95101">
        <w:rPr>
          <w:rFonts w:ascii="Times New Roman" w:hAnsi="Times New Roman" w:cs="Times New Roman"/>
        </w:rPr>
        <w:t>45.38</w:t>
      </w:r>
      <w:r w:rsidR="001638F3" w:rsidRPr="00AC2BC7">
        <w:rPr>
          <w:rFonts w:ascii="Times New Roman" w:hAnsi="Times New Roman" w:cs="Times New Roman"/>
        </w:rPr>
        <w:t>.</w:t>
      </w:r>
    </w:p>
    <w:p w14:paraId="7A6A82E5" w14:textId="5665282A" w:rsidR="00746434" w:rsidRPr="00040CC2" w:rsidRDefault="00FB4F2B" w:rsidP="00121172">
      <w:pPr>
        <w:jc w:val="center"/>
        <w:rPr>
          <w:rFonts w:ascii="Times New Roman" w:hAnsi="Times New Roman" w:cs="Times New Roman"/>
          <w:b/>
        </w:rPr>
      </w:pPr>
      <w:r>
        <w:rPr>
          <w:rFonts w:ascii="Times New Roman" w:hAnsi="Times New Roman" w:cs="Times New Roman"/>
          <w:color w:val="FF0000"/>
        </w:rPr>
        <w:br w:type="page"/>
      </w:r>
      <w:r w:rsidR="00121172" w:rsidRPr="00040CC2">
        <w:rPr>
          <w:rFonts w:ascii="Times New Roman" w:hAnsi="Times New Roman" w:cs="Times New Roman"/>
          <w:b/>
        </w:rPr>
        <w:lastRenderedPageBreak/>
        <w:t>APPENDIX A</w:t>
      </w:r>
    </w:p>
    <w:p w14:paraId="631976A1" w14:textId="5BF2471C" w:rsidR="00705834" w:rsidRPr="00AC2BC7" w:rsidRDefault="00746434" w:rsidP="005612E3">
      <w:pPr>
        <w:jc w:val="center"/>
        <w:rPr>
          <w:rFonts w:ascii="Times New Roman" w:hAnsi="Times New Roman" w:cs="Times New Roman"/>
          <w:b/>
        </w:rPr>
      </w:pPr>
      <w:r w:rsidRPr="00AC2BC7">
        <w:rPr>
          <w:rFonts w:ascii="Times New Roman" w:hAnsi="Times New Roman" w:cs="Times New Roman"/>
          <w:b/>
        </w:rPr>
        <w:t>Provider Presence Ratio Model Coefficients</w:t>
      </w:r>
    </w:p>
    <w:tbl>
      <w:tblPr>
        <w:tblW w:w="4190" w:type="dxa"/>
        <w:jc w:val="center"/>
        <w:tblLook w:val="04A0" w:firstRow="1" w:lastRow="0" w:firstColumn="1" w:lastColumn="0" w:noHBand="0" w:noVBand="1"/>
      </w:tblPr>
      <w:tblGrid>
        <w:gridCol w:w="516"/>
        <w:gridCol w:w="1427"/>
        <w:gridCol w:w="1053"/>
        <w:gridCol w:w="1194"/>
      </w:tblGrid>
      <w:tr w:rsidR="009149C5" w:rsidRPr="00AC2BC7" w14:paraId="0E28538C" w14:textId="77777777" w:rsidTr="009B1A20">
        <w:trPr>
          <w:trHeight w:val="300"/>
          <w:jc w:val="center"/>
        </w:trPr>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13926" w14:textId="77777777" w:rsidR="009149C5" w:rsidRPr="00AC2BC7" w:rsidRDefault="009149C5" w:rsidP="001B0881">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14:paraId="448A1DBA" w14:textId="24A3B1F4" w:rsidR="009149C5" w:rsidRPr="00AC2BC7" w:rsidRDefault="009149C5" w:rsidP="009B1A20">
            <w:pPr>
              <w:spacing w:after="0" w:line="240" w:lineRule="auto"/>
              <w:jc w:val="right"/>
              <w:rPr>
                <w:rFonts w:ascii="Times New Roman" w:eastAsia="Times New Roman" w:hAnsi="Times New Roman" w:cs="Times New Roman"/>
                <w:color w:val="000000"/>
              </w:rPr>
            </w:pP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14:paraId="01A347E2" w14:textId="77777777" w:rsidR="009149C5" w:rsidRPr="00AC2BC7" w:rsidRDefault="009149C5" w:rsidP="009B1A20">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Estimate</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14:paraId="70095E5F" w14:textId="77777777" w:rsidR="009149C5" w:rsidRPr="00AC2BC7" w:rsidRDefault="009149C5" w:rsidP="009B1A20">
            <w:pPr>
              <w:spacing w:after="0" w:line="240" w:lineRule="auto"/>
              <w:jc w:val="right"/>
              <w:rPr>
                <w:rFonts w:ascii="Times New Roman" w:eastAsia="Times New Roman" w:hAnsi="Times New Roman" w:cs="Times New Roman"/>
                <w:color w:val="000000"/>
              </w:rPr>
            </w:pPr>
            <w:r w:rsidRPr="00AC2BC7">
              <w:rPr>
                <w:rFonts w:ascii="Times New Roman" w:eastAsia="Times New Roman" w:hAnsi="Times New Roman" w:cs="Times New Roman"/>
                <w:color w:val="000000"/>
              </w:rPr>
              <w:t>Std. Error</w:t>
            </w:r>
          </w:p>
        </w:tc>
      </w:tr>
      <w:tr w:rsidR="009149C5" w:rsidRPr="00AC2BC7" w14:paraId="433B56F9"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C19DF00"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b0</w:t>
            </w:r>
          </w:p>
        </w:tc>
        <w:tc>
          <w:tcPr>
            <w:tcW w:w="1427" w:type="dxa"/>
            <w:tcBorders>
              <w:top w:val="nil"/>
              <w:left w:val="nil"/>
              <w:bottom w:val="single" w:sz="4" w:space="0" w:color="auto"/>
              <w:right w:val="single" w:sz="4" w:space="0" w:color="auto"/>
            </w:tcBorders>
            <w:shd w:val="clear" w:color="auto" w:fill="auto"/>
            <w:noWrap/>
            <w:vAlign w:val="bottom"/>
            <w:hideMark/>
          </w:tcPr>
          <w:p w14:paraId="478CE53B"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(Intercept)</w:t>
            </w:r>
          </w:p>
        </w:tc>
        <w:tc>
          <w:tcPr>
            <w:tcW w:w="1053" w:type="dxa"/>
            <w:tcBorders>
              <w:top w:val="nil"/>
              <w:left w:val="nil"/>
              <w:bottom w:val="single" w:sz="4" w:space="0" w:color="auto"/>
              <w:right w:val="single" w:sz="4" w:space="0" w:color="auto"/>
            </w:tcBorders>
            <w:shd w:val="clear" w:color="auto" w:fill="auto"/>
            <w:noWrap/>
            <w:vAlign w:val="bottom"/>
            <w:hideMark/>
          </w:tcPr>
          <w:p w14:paraId="0342E74C" w14:textId="6324BA4D"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2.167</w:t>
            </w:r>
          </w:p>
        </w:tc>
        <w:tc>
          <w:tcPr>
            <w:tcW w:w="1194" w:type="dxa"/>
            <w:tcBorders>
              <w:top w:val="nil"/>
              <w:left w:val="nil"/>
              <w:bottom w:val="single" w:sz="4" w:space="0" w:color="auto"/>
              <w:right w:val="single" w:sz="4" w:space="0" w:color="auto"/>
            </w:tcBorders>
            <w:shd w:val="clear" w:color="auto" w:fill="auto"/>
            <w:noWrap/>
            <w:vAlign w:val="bottom"/>
            <w:hideMark/>
          </w:tcPr>
          <w:p w14:paraId="38B00070" w14:textId="50A7D2C8"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0.037</w:t>
            </w:r>
          </w:p>
        </w:tc>
      </w:tr>
      <w:tr w:rsidR="009149C5" w:rsidRPr="00AC2BC7" w14:paraId="15774FD8"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68479AE"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b1</w:t>
            </w:r>
          </w:p>
        </w:tc>
        <w:tc>
          <w:tcPr>
            <w:tcW w:w="1427" w:type="dxa"/>
            <w:tcBorders>
              <w:top w:val="nil"/>
              <w:left w:val="nil"/>
              <w:bottom w:val="single" w:sz="4" w:space="0" w:color="auto"/>
              <w:right w:val="single" w:sz="4" w:space="0" w:color="auto"/>
            </w:tcBorders>
            <w:shd w:val="clear" w:color="auto" w:fill="auto"/>
            <w:noWrap/>
            <w:vAlign w:val="bottom"/>
            <w:hideMark/>
          </w:tcPr>
          <w:p w14:paraId="333CDF47" w14:textId="7BD33895"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hAnsi="Times New Roman" w:cs="Times New Roman"/>
              </w:rPr>
              <w:t>Log</w:t>
            </w:r>
            <w:r w:rsidRPr="00AC2BC7">
              <w:rPr>
                <w:rFonts w:ascii="Times New Roman" w:hAnsi="Times New Roman" w:cs="Times New Roman"/>
                <w:vertAlign w:val="subscript"/>
              </w:rPr>
              <w:t xml:space="preserve">10 </w:t>
            </w:r>
            <w:r w:rsidRPr="00AC2BC7">
              <w:rPr>
                <w:rFonts w:ascii="Times New Roman" w:hAnsi="Times New Roman" w:cs="Times New Roman"/>
              </w:rPr>
              <w:t>(</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1-X</m:t>
                  </m:r>
                </m:den>
              </m:f>
            </m:oMath>
            <w:r w:rsidRPr="00AC2BC7">
              <w:rPr>
                <w:rFonts w:ascii="Times New Roman" w:hAnsi="Times New Roman" w:cs="Times New Roman"/>
              </w:rPr>
              <w:t>)</w:t>
            </w:r>
          </w:p>
        </w:tc>
        <w:tc>
          <w:tcPr>
            <w:tcW w:w="1053" w:type="dxa"/>
            <w:tcBorders>
              <w:top w:val="nil"/>
              <w:left w:val="nil"/>
              <w:bottom w:val="single" w:sz="4" w:space="0" w:color="auto"/>
              <w:right w:val="single" w:sz="4" w:space="0" w:color="auto"/>
            </w:tcBorders>
            <w:shd w:val="clear" w:color="auto" w:fill="auto"/>
            <w:noWrap/>
            <w:vAlign w:val="bottom"/>
            <w:hideMark/>
          </w:tcPr>
          <w:p w14:paraId="414E832E" w14:textId="318B1722"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0.766</w:t>
            </w:r>
          </w:p>
        </w:tc>
        <w:tc>
          <w:tcPr>
            <w:tcW w:w="1194" w:type="dxa"/>
            <w:tcBorders>
              <w:top w:val="nil"/>
              <w:left w:val="nil"/>
              <w:bottom w:val="single" w:sz="4" w:space="0" w:color="auto"/>
              <w:right w:val="single" w:sz="4" w:space="0" w:color="auto"/>
            </w:tcBorders>
            <w:shd w:val="clear" w:color="auto" w:fill="auto"/>
            <w:noWrap/>
            <w:vAlign w:val="bottom"/>
            <w:hideMark/>
          </w:tcPr>
          <w:p w14:paraId="7C0B541F" w14:textId="57597DA1"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0.004</w:t>
            </w:r>
          </w:p>
        </w:tc>
      </w:tr>
      <w:tr w:rsidR="009149C5" w:rsidRPr="00AC2BC7" w14:paraId="30BE6A63"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D3ECD57"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w:t>
            </w:r>
          </w:p>
        </w:tc>
        <w:tc>
          <w:tcPr>
            <w:tcW w:w="1427" w:type="dxa"/>
            <w:tcBorders>
              <w:top w:val="nil"/>
              <w:left w:val="nil"/>
              <w:bottom w:val="single" w:sz="4" w:space="0" w:color="auto"/>
              <w:right w:val="single" w:sz="4" w:space="0" w:color="auto"/>
            </w:tcBorders>
            <w:shd w:val="clear" w:color="auto" w:fill="auto"/>
            <w:noWrap/>
            <w:vAlign w:val="bottom"/>
            <w:hideMark/>
          </w:tcPr>
          <w:p w14:paraId="0D583B1B" w14:textId="3DBAFDB5"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02</w:t>
            </w:r>
          </w:p>
        </w:tc>
        <w:tc>
          <w:tcPr>
            <w:tcW w:w="1053" w:type="dxa"/>
            <w:tcBorders>
              <w:top w:val="nil"/>
              <w:left w:val="nil"/>
              <w:bottom w:val="single" w:sz="4" w:space="0" w:color="auto"/>
              <w:right w:val="single" w:sz="4" w:space="0" w:color="auto"/>
            </w:tcBorders>
            <w:shd w:val="clear" w:color="auto" w:fill="auto"/>
            <w:noWrap/>
            <w:vAlign w:val="bottom"/>
            <w:hideMark/>
          </w:tcPr>
          <w:p w14:paraId="0CE02CA4" w14:textId="11858505"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0.497</w:t>
            </w:r>
          </w:p>
        </w:tc>
        <w:tc>
          <w:tcPr>
            <w:tcW w:w="1194" w:type="dxa"/>
            <w:tcBorders>
              <w:top w:val="nil"/>
              <w:left w:val="nil"/>
              <w:bottom w:val="single" w:sz="4" w:space="0" w:color="auto"/>
              <w:right w:val="single" w:sz="4" w:space="0" w:color="auto"/>
            </w:tcBorders>
            <w:shd w:val="clear" w:color="auto" w:fill="auto"/>
            <w:noWrap/>
            <w:vAlign w:val="bottom"/>
            <w:hideMark/>
          </w:tcPr>
          <w:p w14:paraId="0F1D3B0A" w14:textId="7DABC792"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0.109</w:t>
            </w:r>
          </w:p>
        </w:tc>
      </w:tr>
      <w:tr w:rsidR="009149C5" w:rsidRPr="00AC2BC7" w14:paraId="5FF932D3"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4042DC3"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w:t>
            </w:r>
          </w:p>
        </w:tc>
        <w:tc>
          <w:tcPr>
            <w:tcW w:w="1427" w:type="dxa"/>
            <w:tcBorders>
              <w:top w:val="nil"/>
              <w:left w:val="nil"/>
              <w:bottom w:val="single" w:sz="4" w:space="0" w:color="auto"/>
              <w:right w:val="single" w:sz="4" w:space="0" w:color="auto"/>
            </w:tcBorders>
            <w:shd w:val="clear" w:color="auto" w:fill="auto"/>
            <w:noWrap/>
            <w:vAlign w:val="bottom"/>
            <w:hideMark/>
          </w:tcPr>
          <w:p w14:paraId="7F5C447D" w14:textId="2C7E3251"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04</w:t>
            </w:r>
          </w:p>
        </w:tc>
        <w:tc>
          <w:tcPr>
            <w:tcW w:w="1053" w:type="dxa"/>
            <w:tcBorders>
              <w:top w:val="nil"/>
              <w:left w:val="nil"/>
              <w:bottom w:val="single" w:sz="4" w:space="0" w:color="auto"/>
              <w:right w:val="single" w:sz="4" w:space="0" w:color="auto"/>
            </w:tcBorders>
            <w:shd w:val="clear" w:color="auto" w:fill="auto"/>
            <w:noWrap/>
            <w:vAlign w:val="bottom"/>
            <w:hideMark/>
          </w:tcPr>
          <w:p w14:paraId="11BC6786" w14:textId="3C73C3B3"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0.253</w:t>
            </w:r>
          </w:p>
        </w:tc>
        <w:tc>
          <w:tcPr>
            <w:tcW w:w="1194" w:type="dxa"/>
            <w:tcBorders>
              <w:top w:val="nil"/>
              <w:left w:val="nil"/>
              <w:bottom w:val="single" w:sz="4" w:space="0" w:color="auto"/>
              <w:right w:val="single" w:sz="4" w:space="0" w:color="auto"/>
            </w:tcBorders>
            <w:shd w:val="clear" w:color="auto" w:fill="auto"/>
            <w:noWrap/>
            <w:vAlign w:val="bottom"/>
            <w:hideMark/>
          </w:tcPr>
          <w:p w14:paraId="03DC39C1" w14:textId="43BED291"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0.045</w:t>
            </w:r>
          </w:p>
        </w:tc>
      </w:tr>
      <w:tr w:rsidR="009149C5" w:rsidRPr="00AC2BC7" w14:paraId="03C5AB0A"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61FB0CD"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w:t>
            </w:r>
          </w:p>
        </w:tc>
        <w:tc>
          <w:tcPr>
            <w:tcW w:w="1427" w:type="dxa"/>
            <w:tcBorders>
              <w:top w:val="nil"/>
              <w:left w:val="nil"/>
              <w:bottom w:val="single" w:sz="4" w:space="0" w:color="auto"/>
              <w:right w:val="single" w:sz="4" w:space="0" w:color="auto"/>
            </w:tcBorders>
            <w:shd w:val="clear" w:color="auto" w:fill="auto"/>
            <w:noWrap/>
            <w:vAlign w:val="bottom"/>
            <w:hideMark/>
          </w:tcPr>
          <w:p w14:paraId="38CE94BF" w14:textId="113F474D"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05</w:t>
            </w:r>
          </w:p>
        </w:tc>
        <w:tc>
          <w:tcPr>
            <w:tcW w:w="1053" w:type="dxa"/>
            <w:tcBorders>
              <w:top w:val="nil"/>
              <w:left w:val="nil"/>
              <w:bottom w:val="single" w:sz="4" w:space="0" w:color="auto"/>
              <w:right w:val="single" w:sz="4" w:space="0" w:color="auto"/>
            </w:tcBorders>
            <w:shd w:val="clear" w:color="auto" w:fill="auto"/>
            <w:noWrap/>
            <w:vAlign w:val="bottom"/>
            <w:hideMark/>
          </w:tcPr>
          <w:p w14:paraId="682D28FE" w14:textId="52A0CC79"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-0.163</w:t>
            </w:r>
          </w:p>
        </w:tc>
        <w:tc>
          <w:tcPr>
            <w:tcW w:w="1194" w:type="dxa"/>
            <w:tcBorders>
              <w:top w:val="nil"/>
              <w:left w:val="nil"/>
              <w:bottom w:val="single" w:sz="4" w:space="0" w:color="auto"/>
              <w:right w:val="single" w:sz="4" w:space="0" w:color="auto"/>
            </w:tcBorders>
            <w:shd w:val="clear" w:color="auto" w:fill="auto"/>
            <w:noWrap/>
            <w:vAlign w:val="bottom"/>
            <w:hideMark/>
          </w:tcPr>
          <w:p w14:paraId="278A8EA9" w14:textId="5A3CF6C3"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0.063</w:t>
            </w:r>
          </w:p>
        </w:tc>
      </w:tr>
      <w:tr w:rsidR="009149C5" w:rsidRPr="00AC2BC7" w14:paraId="5D2A5F8D"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13F5913"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w:t>
            </w:r>
          </w:p>
        </w:tc>
        <w:tc>
          <w:tcPr>
            <w:tcW w:w="1427" w:type="dxa"/>
            <w:tcBorders>
              <w:top w:val="nil"/>
              <w:left w:val="nil"/>
              <w:bottom w:val="single" w:sz="4" w:space="0" w:color="auto"/>
              <w:right w:val="single" w:sz="4" w:space="0" w:color="auto"/>
            </w:tcBorders>
            <w:shd w:val="clear" w:color="auto" w:fill="auto"/>
            <w:noWrap/>
            <w:vAlign w:val="bottom"/>
            <w:hideMark/>
          </w:tcPr>
          <w:p w14:paraId="064921D2" w14:textId="46BAE7D3"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06</w:t>
            </w:r>
          </w:p>
        </w:tc>
        <w:tc>
          <w:tcPr>
            <w:tcW w:w="1053" w:type="dxa"/>
            <w:tcBorders>
              <w:top w:val="nil"/>
              <w:left w:val="nil"/>
              <w:bottom w:val="single" w:sz="4" w:space="0" w:color="auto"/>
              <w:right w:val="single" w:sz="4" w:space="0" w:color="auto"/>
            </w:tcBorders>
            <w:shd w:val="clear" w:color="auto" w:fill="auto"/>
            <w:noWrap/>
            <w:vAlign w:val="bottom"/>
            <w:hideMark/>
          </w:tcPr>
          <w:p w14:paraId="3EA328B1" w14:textId="66DAC0CD"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0.451</w:t>
            </w:r>
          </w:p>
        </w:tc>
        <w:tc>
          <w:tcPr>
            <w:tcW w:w="1194" w:type="dxa"/>
            <w:tcBorders>
              <w:top w:val="nil"/>
              <w:left w:val="nil"/>
              <w:bottom w:val="single" w:sz="4" w:space="0" w:color="auto"/>
              <w:right w:val="single" w:sz="4" w:space="0" w:color="auto"/>
            </w:tcBorders>
            <w:shd w:val="clear" w:color="auto" w:fill="auto"/>
            <w:noWrap/>
            <w:vAlign w:val="bottom"/>
            <w:hideMark/>
          </w:tcPr>
          <w:p w14:paraId="145CD902" w14:textId="78D396C6"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0.038</w:t>
            </w:r>
          </w:p>
        </w:tc>
      </w:tr>
      <w:tr w:rsidR="009149C5" w:rsidRPr="00AC2BC7" w14:paraId="423B106A"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DA0833B"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r5</w:t>
            </w:r>
          </w:p>
        </w:tc>
        <w:tc>
          <w:tcPr>
            <w:tcW w:w="1427" w:type="dxa"/>
            <w:tcBorders>
              <w:top w:val="nil"/>
              <w:left w:val="nil"/>
              <w:bottom w:val="single" w:sz="4" w:space="0" w:color="auto"/>
              <w:right w:val="single" w:sz="4" w:space="0" w:color="auto"/>
            </w:tcBorders>
            <w:shd w:val="clear" w:color="auto" w:fill="auto"/>
            <w:noWrap/>
            <w:vAlign w:val="bottom"/>
            <w:hideMark/>
          </w:tcPr>
          <w:p w14:paraId="51D7548F" w14:textId="74AC100F"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08</w:t>
            </w:r>
          </w:p>
        </w:tc>
        <w:tc>
          <w:tcPr>
            <w:tcW w:w="1053" w:type="dxa"/>
            <w:tcBorders>
              <w:top w:val="nil"/>
              <w:left w:val="nil"/>
              <w:bottom w:val="single" w:sz="4" w:space="0" w:color="auto"/>
              <w:right w:val="single" w:sz="4" w:space="0" w:color="auto"/>
            </w:tcBorders>
            <w:shd w:val="clear" w:color="auto" w:fill="auto"/>
            <w:noWrap/>
            <w:vAlign w:val="bottom"/>
            <w:hideMark/>
          </w:tcPr>
          <w:p w14:paraId="4CD3E1E4" w14:textId="77E19D3D"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0.758</w:t>
            </w:r>
          </w:p>
        </w:tc>
        <w:tc>
          <w:tcPr>
            <w:tcW w:w="1194" w:type="dxa"/>
            <w:tcBorders>
              <w:top w:val="nil"/>
              <w:left w:val="nil"/>
              <w:bottom w:val="single" w:sz="4" w:space="0" w:color="auto"/>
              <w:right w:val="single" w:sz="4" w:space="0" w:color="auto"/>
            </w:tcBorders>
            <w:shd w:val="clear" w:color="auto" w:fill="auto"/>
            <w:noWrap/>
            <w:vAlign w:val="bottom"/>
            <w:hideMark/>
          </w:tcPr>
          <w:p w14:paraId="778DCFE7" w14:textId="1017F420"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0.047</w:t>
            </w:r>
          </w:p>
        </w:tc>
      </w:tr>
      <w:tr w:rsidR="009149C5" w:rsidRPr="00AC2BC7" w14:paraId="3853962A"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EF17C89"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r6</w:t>
            </w:r>
          </w:p>
        </w:tc>
        <w:tc>
          <w:tcPr>
            <w:tcW w:w="1427" w:type="dxa"/>
            <w:tcBorders>
              <w:top w:val="nil"/>
              <w:left w:val="nil"/>
              <w:bottom w:val="single" w:sz="4" w:space="0" w:color="auto"/>
              <w:right w:val="single" w:sz="4" w:space="0" w:color="auto"/>
            </w:tcBorders>
            <w:shd w:val="clear" w:color="auto" w:fill="auto"/>
            <w:noWrap/>
            <w:vAlign w:val="bottom"/>
            <w:hideMark/>
          </w:tcPr>
          <w:p w14:paraId="4143964B" w14:textId="465F8680"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09</w:t>
            </w:r>
          </w:p>
        </w:tc>
        <w:tc>
          <w:tcPr>
            <w:tcW w:w="1053" w:type="dxa"/>
            <w:tcBorders>
              <w:top w:val="nil"/>
              <w:left w:val="nil"/>
              <w:bottom w:val="single" w:sz="4" w:space="0" w:color="auto"/>
              <w:right w:val="single" w:sz="4" w:space="0" w:color="auto"/>
            </w:tcBorders>
            <w:shd w:val="clear" w:color="auto" w:fill="auto"/>
            <w:noWrap/>
            <w:vAlign w:val="bottom"/>
            <w:hideMark/>
          </w:tcPr>
          <w:p w14:paraId="58E9A545" w14:textId="78F12585"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0.467</w:t>
            </w:r>
          </w:p>
        </w:tc>
        <w:tc>
          <w:tcPr>
            <w:tcW w:w="1194" w:type="dxa"/>
            <w:tcBorders>
              <w:top w:val="nil"/>
              <w:left w:val="nil"/>
              <w:bottom w:val="single" w:sz="4" w:space="0" w:color="auto"/>
              <w:right w:val="single" w:sz="4" w:space="0" w:color="auto"/>
            </w:tcBorders>
            <w:shd w:val="clear" w:color="auto" w:fill="auto"/>
            <w:noWrap/>
            <w:vAlign w:val="bottom"/>
            <w:hideMark/>
          </w:tcPr>
          <w:p w14:paraId="167622BC" w14:textId="6E46AEC6"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0.053</w:t>
            </w:r>
          </w:p>
        </w:tc>
      </w:tr>
      <w:tr w:rsidR="009149C5" w:rsidRPr="00AC2BC7" w14:paraId="31BBAE7A"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9B498C1"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r7</w:t>
            </w:r>
          </w:p>
        </w:tc>
        <w:tc>
          <w:tcPr>
            <w:tcW w:w="1427" w:type="dxa"/>
            <w:tcBorders>
              <w:top w:val="nil"/>
              <w:left w:val="nil"/>
              <w:bottom w:val="single" w:sz="4" w:space="0" w:color="auto"/>
              <w:right w:val="single" w:sz="4" w:space="0" w:color="auto"/>
            </w:tcBorders>
            <w:shd w:val="clear" w:color="auto" w:fill="auto"/>
            <w:noWrap/>
            <w:vAlign w:val="bottom"/>
            <w:hideMark/>
          </w:tcPr>
          <w:p w14:paraId="2055199A" w14:textId="785C5374"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10</w:t>
            </w:r>
          </w:p>
        </w:tc>
        <w:tc>
          <w:tcPr>
            <w:tcW w:w="1053" w:type="dxa"/>
            <w:tcBorders>
              <w:top w:val="nil"/>
              <w:left w:val="nil"/>
              <w:bottom w:val="single" w:sz="4" w:space="0" w:color="auto"/>
              <w:right w:val="single" w:sz="4" w:space="0" w:color="auto"/>
            </w:tcBorders>
            <w:shd w:val="clear" w:color="auto" w:fill="auto"/>
            <w:noWrap/>
            <w:vAlign w:val="bottom"/>
            <w:hideMark/>
          </w:tcPr>
          <w:p w14:paraId="7BC3FB97" w14:textId="73A1901F"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0.024</w:t>
            </w:r>
          </w:p>
        </w:tc>
        <w:tc>
          <w:tcPr>
            <w:tcW w:w="1194" w:type="dxa"/>
            <w:tcBorders>
              <w:top w:val="nil"/>
              <w:left w:val="nil"/>
              <w:bottom w:val="single" w:sz="4" w:space="0" w:color="auto"/>
              <w:right w:val="single" w:sz="4" w:space="0" w:color="auto"/>
            </w:tcBorders>
            <w:shd w:val="clear" w:color="auto" w:fill="auto"/>
            <w:noWrap/>
            <w:vAlign w:val="bottom"/>
            <w:hideMark/>
          </w:tcPr>
          <w:p w14:paraId="2897B71C" w14:textId="11017E77"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0.082</w:t>
            </w:r>
          </w:p>
        </w:tc>
      </w:tr>
      <w:tr w:rsidR="009149C5" w:rsidRPr="00AC2BC7" w14:paraId="45743935"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8213DCA"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r8</w:t>
            </w:r>
          </w:p>
        </w:tc>
        <w:tc>
          <w:tcPr>
            <w:tcW w:w="1427" w:type="dxa"/>
            <w:tcBorders>
              <w:top w:val="nil"/>
              <w:left w:val="nil"/>
              <w:bottom w:val="single" w:sz="4" w:space="0" w:color="auto"/>
              <w:right w:val="single" w:sz="4" w:space="0" w:color="auto"/>
            </w:tcBorders>
            <w:shd w:val="clear" w:color="auto" w:fill="auto"/>
            <w:noWrap/>
            <w:vAlign w:val="bottom"/>
            <w:hideMark/>
          </w:tcPr>
          <w:p w14:paraId="7E4C1C16" w14:textId="0F56DC94"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11</w:t>
            </w:r>
          </w:p>
        </w:tc>
        <w:tc>
          <w:tcPr>
            <w:tcW w:w="1053" w:type="dxa"/>
            <w:tcBorders>
              <w:top w:val="nil"/>
              <w:left w:val="nil"/>
              <w:bottom w:val="single" w:sz="4" w:space="0" w:color="auto"/>
              <w:right w:val="single" w:sz="4" w:space="0" w:color="auto"/>
            </w:tcBorders>
            <w:shd w:val="clear" w:color="auto" w:fill="auto"/>
            <w:noWrap/>
            <w:vAlign w:val="bottom"/>
            <w:hideMark/>
          </w:tcPr>
          <w:p w14:paraId="48DE708D" w14:textId="1507B7E2"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0.862</w:t>
            </w:r>
          </w:p>
        </w:tc>
        <w:tc>
          <w:tcPr>
            <w:tcW w:w="1194" w:type="dxa"/>
            <w:tcBorders>
              <w:top w:val="nil"/>
              <w:left w:val="nil"/>
              <w:bottom w:val="single" w:sz="4" w:space="0" w:color="auto"/>
              <w:right w:val="single" w:sz="4" w:space="0" w:color="auto"/>
            </w:tcBorders>
            <w:shd w:val="clear" w:color="auto" w:fill="auto"/>
            <w:noWrap/>
            <w:vAlign w:val="bottom"/>
            <w:hideMark/>
          </w:tcPr>
          <w:p w14:paraId="1890B51B" w14:textId="26E20BB8"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0.076</w:t>
            </w:r>
          </w:p>
        </w:tc>
      </w:tr>
      <w:tr w:rsidR="009149C5" w:rsidRPr="00AC2BC7" w14:paraId="71F9B274"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6C39094"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r9</w:t>
            </w:r>
          </w:p>
        </w:tc>
        <w:tc>
          <w:tcPr>
            <w:tcW w:w="1427" w:type="dxa"/>
            <w:tcBorders>
              <w:top w:val="nil"/>
              <w:left w:val="nil"/>
              <w:bottom w:val="single" w:sz="4" w:space="0" w:color="auto"/>
              <w:right w:val="single" w:sz="4" w:space="0" w:color="auto"/>
            </w:tcBorders>
            <w:shd w:val="clear" w:color="auto" w:fill="auto"/>
            <w:noWrap/>
            <w:vAlign w:val="bottom"/>
            <w:hideMark/>
          </w:tcPr>
          <w:p w14:paraId="678E4DF0" w14:textId="73003E1E"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12</w:t>
            </w:r>
          </w:p>
        </w:tc>
        <w:tc>
          <w:tcPr>
            <w:tcW w:w="1053" w:type="dxa"/>
            <w:tcBorders>
              <w:top w:val="nil"/>
              <w:left w:val="nil"/>
              <w:bottom w:val="single" w:sz="4" w:space="0" w:color="auto"/>
              <w:right w:val="single" w:sz="4" w:space="0" w:color="auto"/>
            </w:tcBorders>
            <w:shd w:val="clear" w:color="auto" w:fill="auto"/>
            <w:noWrap/>
            <w:vAlign w:val="bottom"/>
            <w:hideMark/>
          </w:tcPr>
          <w:p w14:paraId="5950D7AA" w14:textId="01D0BA80"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0.166</w:t>
            </w:r>
          </w:p>
        </w:tc>
        <w:tc>
          <w:tcPr>
            <w:tcW w:w="1194" w:type="dxa"/>
            <w:tcBorders>
              <w:top w:val="nil"/>
              <w:left w:val="nil"/>
              <w:bottom w:val="single" w:sz="4" w:space="0" w:color="auto"/>
              <w:right w:val="single" w:sz="4" w:space="0" w:color="auto"/>
            </w:tcBorders>
            <w:shd w:val="clear" w:color="auto" w:fill="auto"/>
            <w:noWrap/>
            <w:vAlign w:val="bottom"/>
            <w:hideMark/>
          </w:tcPr>
          <w:p w14:paraId="0D6E68AE" w14:textId="7E8C020B"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0.040</w:t>
            </w:r>
          </w:p>
        </w:tc>
      </w:tr>
      <w:tr w:rsidR="009149C5" w:rsidRPr="00AC2BC7" w14:paraId="7F496A02"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3400F0B"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r10</w:t>
            </w:r>
          </w:p>
        </w:tc>
        <w:tc>
          <w:tcPr>
            <w:tcW w:w="1427" w:type="dxa"/>
            <w:tcBorders>
              <w:top w:val="nil"/>
              <w:left w:val="nil"/>
              <w:bottom w:val="single" w:sz="4" w:space="0" w:color="auto"/>
              <w:right w:val="single" w:sz="4" w:space="0" w:color="auto"/>
            </w:tcBorders>
            <w:shd w:val="clear" w:color="auto" w:fill="auto"/>
            <w:noWrap/>
            <w:vAlign w:val="bottom"/>
            <w:hideMark/>
          </w:tcPr>
          <w:p w14:paraId="1B8DD910" w14:textId="40CA0FD2"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13</w:t>
            </w:r>
          </w:p>
        </w:tc>
        <w:tc>
          <w:tcPr>
            <w:tcW w:w="1053" w:type="dxa"/>
            <w:tcBorders>
              <w:top w:val="nil"/>
              <w:left w:val="nil"/>
              <w:bottom w:val="single" w:sz="4" w:space="0" w:color="auto"/>
              <w:right w:val="single" w:sz="4" w:space="0" w:color="auto"/>
            </w:tcBorders>
            <w:shd w:val="clear" w:color="auto" w:fill="auto"/>
            <w:noWrap/>
            <w:vAlign w:val="bottom"/>
            <w:hideMark/>
          </w:tcPr>
          <w:p w14:paraId="2BCCF9E7" w14:textId="3A5147F8"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0.002</w:t>
            </w:r>
          </w:p>
        </w:tc>
        <w:tc>
          <w:tcPr>
            <w:tcW w:w="1194" w:type="dxa"/>
            <w:tcBorders>
              <w:top w:val="nil"/>
              <w:left w:val="nil"/>
              <w:bottom w:val="single" w:sz="4" w:space="0" w:color="auto"/>
              <w:right w:val="single" w:sz="4" w:space="0" w:color="auto"/>
            </w:tcBorders>
            <w:shd w:val="clear" w:color="auto" w:fill="auto"/>
            <w:noWrap/>
            <w:vAlign w:val="bottom"/>
            <w:hideMark/>
          </w:tcPr>
          <w:p w14:paraId="719BEA82" w14:textId="2D7F5332"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0.045</w:t>
            </w:r>
          </w:p>
        </w:tc>
      </w:tr>
      <w:tr w:rsidR="009149C5" w:rsidRPr="00AC2BC7" w14:paraId="60E61FE5"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E74C56A"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r11</w:t>
            </w:r>
          </w:p>
        </w:tc>
        <w:tc>
          <w:tcPr>
            <w:tcW w:w="1427" w:type="dxa"/>
            <w:tcBorders>
              <w:top w:val="nil"/>
              <w:left w:val="nil"/>
              <w:bottom w:val="single" w:sz="4" w:space="0" w:color="auto"/>
              <w:right w:val="single" w:sz="4" w:space="0" w:color="auto"/>
            </w:tcBorders>
            <w:shd w:val="clear" w:color="auto" w:fill="auto"/>
            <w:noWrap/>
            <w:vAlign w:val="bottom"/>
            <w:hideMark/>
          </w:tcPr>
          <w:p w14:paraId="20C6428F" w14:textId="4AE256BB"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15</w:t>
            </w:r>
          </w:p>
        </w:tc>
        <w:tc>
          <w:tcPr>
            <w:tcW w:w="1053" w:type="dxa"/>
            <w:tcBorders>
              <w:top w:val="nil"/>
              <w:left w:val="nil"/>
              <w:bottom w:val="single" w:sz="4" w:space="0" w:color="auto"/>
              <w:right w:val="single" w:sz="4" w:space="0" w:color="auto"/>
            </w:tcBorders>
            <w:shd w:val="clear" w:color="auto" w:fill="auto"/>
            <w:noWrap/>
            <w:vAlign w:val="bottom"/>
            <w:hideMark/>
          </w:tcPr>
          <w:p w14:paraId="70F433A0" w14:textId="57FFC36E"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0.715</w:t>
            </w:r>
          </w:p>
        </w:tc>
        <w:tc>
          <w:tcPr>
            <w:tcW w:w="1194" w:type="dxa"/>
            <w:tcBorders>
              <w:top w:val="nil"/>
              <w:left w:val="nil"/>
              <w:bottom w:val="single" w:sz="4" w:space="0" w:color="auto"/>
              <w:right w:val="single" w:sz="4" w:space="0" w:color="auto"/>
            </w:tcBorders>
            <w:shd w:val="clear" w:color="auto" w:fill="auto"/>
            <w:noWrap/>
            <w:vAlign w:val="bottom"/>
            <w:hideMark/>
          </w:tcPr>
          <w:p w14:paraId="636D6C7F" w14:textId="384999DC"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0.076</w:t>
            </w:r>
          </w:p>
        </w:tc>
      </w:tr>
      <w:tr w:rsidR="009149C5" w:rsidRPr="00AC2BC7" w14:paraId="6A083C25"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7628F25"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r12</w:t>
            </w:r>
          </w:p>
        </w:tc>
        <w:tc>
          <w:tcPr>
            <w:tcW w:w="1427" w:type="dxa"/>
            <w:tcBorders>
              <w:top w:val="nil"/>
              <w:left w:val="nil"/>
              <w:bottom w:val="single" w:sz="4" w:space="0" w:color="auto"/>
              <w:right w:val="single" w:sz="4" w:space="0" w:color="auto"/>
            </w:tcBorders>
            <w:shd w:val="clear" w:color="auto" w:fill="auto"/>
            <w:noWrap/>
            <w:vAlign w:val="bottom"/>
            <w:hideMark/>
          </w:tcPr>
          <w:p w14:paraId="1B1A816B" w14:textId="17A1DA01"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16</w:t>
            </w:r>
          </w:p>
        </w:tc>
        <w:tc>
          <w:tcPr>
            <w:tcW w:w="1053" w:type="dxa"/>
            <w:tcBorders>
              <w:top w:val="nil"/>
              <w:left w:val="nil"/>
              <w:bottom w:val="single" w:sz="4" w:space="0" w:color="auto"/>
              <w:right w:val="single" w:sz="4" w:space="0" w:color="auto"/>
            </w:tcBorders>
            <w:shd w:val="clear" w:color="auto" w:fill="auto"/>
            <w:noWrap/>
            <w:vAlign w:val="bottom"/>
            <w:hideMark/>
          </w:tcPr>
          <w:p w14:paraId="62E3ACD4" w14:textId="743CAED8"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0.608</w:t>
            </w:r>
          </w:p>
        </w:tc>
        <w:tc>
          <w:tcPr>
            <w:tcW w:w="1194" w:type="dxa"/>
            <w:tcBorders>
              <w:top w:val="nil"/>
              <w:left w:val="nil"/>
              <w:bottom w:val="single" w:sz="4" w:space="0" w:color="auto"/>
              <w:right w:val="single" w:sz="4" w:space="0" w:color="auto"/>
            </w:tcBorders>
            <w:shd w:val="clear" w:color="auto" w:fill="auto"/>
            <w:noWrap/>
            <w:vAlign w:val="bottom"/>
            <w:hideMark/>
          </w:tcPr>
          <w:p w14:paraId="536A1B61" w14:textId="1818032A"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0.070</w:t>
            </w:r>
          </w:p>
        </w:tc>
      </w:tr>
      <w:tr w:rsidR="009149C5" w:rsidRPr="00AC2BC7" w14:paraId="761CECB7"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8F859F7"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r13</w:t>
            </w:r>
          </w:p>
        </w:tc>
        <w:tc>
          <w:tcPr>
            <w:tcW w:w="1427" w:type="dxa"/>
            <w:tcBorders>
              <w:top w:val="nil"/>
              <w:left w:val="nil"/>
              <w:bottom w:val="single" w:sz="4" w:space="0" w:color="auto"/>
              <w:right w:val="single" w:sz="4" w:space="0" w:color="auto"/>
            </w:tcBorders>
            <w:shd w:val="clear" w:color="auto" w:fill="auto"/>
            <w:noWrap/>
            <w:vAlign w:val="bottom"/>
            <w:hideMark/>
          </w:tcPr>
          <w:p w14:paraId="4AA0429B" w14:textId="09A9820E"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17</w:t>
            </w:r>
          </w:p>
        </w:tc>
        <w:tc>
          <w:tcPr>
            <w:tcW w:w="1053" w:type="dxa"/>
            <w:tcBorders>
              <w:top w:val="nil"/>
              <w:left w:val="nil"/>
              <w:bottom w:val="single" w:sz="4" w:space="0" w:color="auto"/>
              <w:right w:val="single" w:sz="4" w:space="0" w:color="auto"/>
            </w:tcBorders>
            <w:shd w:val="clear" w:color="auto" w:fill="auto"/>
            <w:noWrap/>
            <w:vAlign w:val="bottom"/>
            <w:hideMark/>
          </w:tcPr>
          <w:p w14:paraId="0128010A" w14:textId="7A309CCE"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0.631</w:t>
            </w:r>
          </w:p>
        </w:tc>
        <w:tc>
          <w:tcPr>
            <w:tcW w:w="1194" w:type="dxa"/>
            <w:tcBorders>
              <w:top w:val="nil"/>
              <w:left w:val="nil"/>
              <w:bottom w:val="single" w:sz="4" w:space="0" w:color="auto"/>
              <w:right w:val="single" w:sz="4" w:space="0" w:color="auto"/>
            </w:tcBorders>
            <w:shd w:val="clear" w:color="auto" w:fill="auto"/>
            <w:noWrap/>
            <w:vAlign w:val="bottom"/>
            <w:hideMark/>
          </w:tcPr>
          <w:p w14:paraId="76BC901B" w14:textId="3110772E"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0.041</w:t>
            </w:r>
          </w:p>
        </w:tc>
      </w:tr>
      <w:tr w:rsidR="009149C5" w:rsidRPr="00AC2BC7" w14:paraId="0F13D427"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EB22E27"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r14</w:t>
            </w:r>
          </w:p>
        </w:tc>
        <w:tc>
          <w:tcPr>
            <w:tcW w:w="1427" w:type="dxa"/>
            <w:tcBorders>
              <w:top w:val="nil"/>
              <w:left w:val="nil"/>
              <w:bottom w:val="single" w:sz="4" w:space="0" w:color="auto"/>
              <w:right w:val="single" w:sz="4" w:space="0" w:color="auto"/>
            </w:tcBorders>
            <w:shd w:val="clear" w:color="auto" w:fill="auto"/>
            <w:noWrap/>
            <w:vAlign w:val="bottom"/>
            <w:hideMark/>
          </w:tcPr>
          <w:p w14:paraId="24A169CF" w14:textId="5D2BB95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18</w:t>
            </w:r>
          </w:p>
        </w:tc>
        <w:tc>
          <w:tcPr>
            <w:tcW w:w="1053" w:type="dxa"/>
            <w:tcBorders>
              <w:top w:val="nil"/>
              <w:left w:val="nil"/>
              <w:bottom w:val="single" w:sz="4" w:space="0" w:color="auto"/>
              <w:right w:val="single" w:sz="4" w:space="0" w:color="auto"/>
            </w:tcBorders>
            <w:shd w:val="clear" w:color="auto" w:fill="auto"/>
            <w:noWrap/>
            <w:vAlign w:val="bottom"/>
            <w:hideMark/>
          </w:tcPr>
          <w:p w14:paraId="5F64E34B" w14:textId="07DA74B4"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0.124</w:t>
            </w:r>
          </w:p>
        </w:tc>
        <w:tc>
          <w:tcPr>
            <w:tcW w:w="1194" w:type="dxa"/>
            <w:tcBorders>
              <w:top w:val="nil"/>
              <w:left w:val="nil"/>
              <w:bottom w:val="single" w:sz="4" w:space="0" w:color="auto"/>
              <w:right w:val="single" w:sz="4" w:space="0" w:color="auto"/>
            </w:tcBorders>
            <w:shd w:val="clear" w:color="auto" w:fill="auto"/>
            <w:noWrap/>
            <w:vAlign w:val="bottom"/>
            <w:hideMark/>
          </w:tcPr>
          <w:p w14:paraId="3C709DD2" w14:textId="5A45C673"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0.046</w:t>
            </w:r>
          </w:p>
        </w:tc>
      </w:tr>
      <w:tr w:rsidR="009149C5" w:rsidRPr="00AC2BC7" w14:paraId="4B8F8F7B"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6BE89BA"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r15</w:t>
            </w:r>
          </w:p>
        </w:tc>
        <w:tc>
          <w:tcPr>
            <w:tcW w:w="1427" w:type="dxa"/>
            <w:tcBorders>
              <w:top w:val="nil"/>
              <w:left w:val="nil"/>
              <w:bottom w:val="single" w:sz="4" w:space="0" w:color="auto"/>
              <w:right w:val="single" w:sz="4" w:space="0" w:color="auto"/>
            </w:tcBorders>
            <w:shd w:val="clear" w:color="auto" w:fill="auto"/>
            <w:noWrap/>
            <w:vAlign w:val="bottom"/>
            <w:hideMark/>
          </w:tcPr>
          <w:p w14:paraId="56B668D4" w14:textId="4611662F"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19</w:t>
            </w:r>
          </w:p>
        </w:tc>
        <w:tc>
          <w:tcPr>
            <w:tcW w:w="1053" w:type="dxa"/>
            <w:tcBorders>
              <w:top w:val="nil"/>
              <w:left w:val="nil"/>
              <w:bottom w:val="single" w:sz="4" w:space="0" w:color="auto"/>
              <w:right w:val="single" w:sz="4" w:space="0" w:color="auto"/>
            </w:tcBorders>
            <w:shd w:val="clear" w:color="auto" w:fill="auto"/>
            <w:noWrap/>
            <w:vAlign w:val="bottom"/>
            <w:hideMark/>
          </w:tcPr>
          <w:p w14:paraId="2EE07910" w14:textId="3F1D179F"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0.083</w:t>
            </w:r>
          </w:p>
        </w:tc>
        <w:tc>
          <w:tcPr>
            <w:tcW w:w="1194" w:type="dxa"/>
            <w:tcBorders>
              <w:top w:val="nil"/>
              <w:left w:val="nil"/>
              <w:bottom w:val="single" w:sz="4" w:space="0" w:color="auto"/>
              <w:right w:val="single" w:sz="4" w:space="0" w:color="auto"/>
            </w:tcBorders>
            <w:shd w:val="clear" w:color="auto" w:fill="auto"/>
            <w:noWrap/>
            <w:vAlign w:val="bottom"/>
            <w:hideMark/>
          </w:tcPr>
          <w:p w14:paraId="749131CD" w14:textId="1ABD24B2"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0.057</w:t>
            </w:r>
          </w:p>
        </w:tc>
      </w:tr>
      <w:tr w:rsidR="009149C5" w:rsidRPr="00AC2BC7" w14:paraId="45CE05B4"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D803561"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r16</w:t>
            </w:r>
          </w:p>
        </w:tc>
        <w:tc>
          <w:tcPr>
            <w:tcW w:w="1427" w:type="dxa"/>
            <w:tcBorders>
              <w:top w:val="nil"/>
              <w:left w:val="nil"/>
              <w:bottom w:val="single" w:sz="4" w:space="0" w:color="auto"/>
              <w:right w:val="single" w:sz="4" w:space="0" w:color="auto"/>
            </w:tcBorders>
            <w:shd w:val="clear" w:color="auto" w:fill="auto"/>
            <w:noWrap/>
            <w:vAlign w:val="bottom"/>
            <w:hideMark/>
          </w:tcPr>
          <w:p w14:paraId="1A8C9FF5" w14:textId="59A65EC9"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20</w:t>
            </w:r>
          </w:p>
        </w:tc>
        <w:tc>
          <w:tcPr>
            <w:tcW w:w="1053" w:type="dxa"/>
            <w:tcBorders>
              <w:top w:val="nil"/>
              <w:left w:val="nil"/>
              <w:bottom w:val="single" w:sz="4" w:space="0" w:color="auto"/>
              <w:right w:val="single" w:sz="4" w:space="0" w:color="auto"/>
            </w:tcBorders>
            <w:shd w:val="clear" w:color="auto" w:fill="auto"/>
            <w:noWrap/>
            <w:vAlign w:val="bottom"/>
            <w:hideMark/>
          </w:tcPr>
          <w:p w14:paraId="1FE14C0D" w14:textId="49910C1E"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0.709</w:t>
            </w:r>
          </w:p>
        </w:tc>
        <w:tc>
          <w:tcPr>
            <w:tcW w:w="1194" w:type="dxa"/>
            <w:tcBorders>
              <w:top w:val="nil"/>
              <w:left w:val="nil"/>
              <w:bottom w:val="single" w:sz="4" w:space="0" w:color="auto"/>
              <w:right w:val="single" w:sz="4" w:space="0" w:color="auto"/>
            </w:tcBorders>
            <w:shd w:val="clear" w:color="auto" w:fill="auto"/>
            <w:noWrap/>
            <w:vAlign w:val="bottom"/>
            <w:hideMark/>
          </w:tcPr>
          <w:p w14:paraId="212F6498" w14:textId="537203BB"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0.055</w:t>
            </w:r>
          </w:p>
        </w:tc>
      </w:tr>
      <w:tr w:rsidR="009149C5" w:rsidRPr="00AC2BC7" w14:paraId="6CA3E04F"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BBDA847"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r17</w:t>
            </w:r>
          </w:p>
        </w:tc>
        <w:tc>
          <w:tcPr>
            <w:tcW w:w="1427" w:type="dxa"/>
            <w:tcBorders>
              <w:top w:val="nil"/>
              <w:left w:val="nil"/>
              <w:bottom w:val="single" w:sz="4" w:space="0" w:color="auto"/>
              <w:right w:val="single" w:sz="4" w:space="0" w:color="auto"/>
            </w:tcBorders>
            <w:shd w:val="clear" w:color="auto" w:fill="auto"/>
            <w:noWrap/>
            <w:vAlign w:val="bottom"/>
            <w:hideMark/>
          </w:tcPr>
          <w:p w14:paraId="05ED7620" w14:textId="33C7EDC9"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21</w:t>
            </w:r>
          </w:p>
        </w:tc>
        <w:tc>
          <w:tcPr>
            <w:tcW w:w="1053" w:type="dxa"/>
            <w:tcBorders>
              <w:top w:val="nil"/>
              <w:left w:val="nil"/>
              <w:bottom w:val="single" w:sz="4" w:space="0" w:color="auto"/>
              <w:right w:val="single" w:sz="4" w:space="0" w:color="auto"/>
            </w:tcBorders>
            <w:shd w:val="clear" w:color="auto" w:fill="auto"/>
            <w:noWrap/>
            <w:vAlign w:val="bottom"/>
            <w:hideMark/>
          </w:tcPr>
          <w:p w14:paraId="01D9644C" w14:textId="45020AA6"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0.778</w:t>
            </w:r>
          </w:p>
        </w:tc>
        <w:tc>
          <w:tcPr>
            <w:tcW w:w="1194" w:type="dxa"/>
            <w:tcBorders>
              <w:top w:val="nil"/>
              <w:left w:val="nil"/>
              <w:bottom w:val="single" w:sz="4" w:space="0" w:color="auto"/>
              <w:right w:val="single" w:sz="4" w:space="0" w:color="auto"/>
            </w:tcBorders>
            <w:shd w:val="clear" w:color="auto" w:fill="auto"/>
            <w:noWrap/>
            <w:vAlign w:val="bottom"/>
            <w:hideMark/>
          </w:tcPr>
          <w:p w14:paraId="0BE973B5" w14:textId="397B30CD"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0.057</w:t>
            </w:r>
          </w:p>
        </w:tc>
      </w:tr>
      <w:tr w:rsidR="009149C5" w:rsidRPr="00AC2BC7" w14:paraId="2C99E2CA"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5E13002"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r18</w:t>
            </w:r>
          </w:p>
        </w:tc>
        <w:tc>
          <w:tcPr>
            <w:tcW w:w="1427" w:type="dxa"/>
            <w:tcBorders>
              <w:top w:val="nil"/>
              <w:left w:val="nil"/>
              <w:bottom w:val="single" w:sz="4" w:space="0" w:color="auto"/>
              <w:right w:val="single" w:sz="4" w:space="0" w:color="auto"/>
            </w:tcBorders>
            <w:shd w:val="clear" w:color="auto" w:fill="auto"/>
            <w:noWrap/>
            <w:vAlign w:val="bottom"/>
            <w:hideMark/>
          </w:tcPr>
          <w:p w14:paraId="0AFB9991" w14:textId="6C9518BC"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22</w:t>
            </w:r>
          </w:p>
        </w:tc>
        <w:tc>
          <w:tcPr>
            <w:tcW w:w="1053" w:type="dxa"/>
            <w:tcBorders>
              <w:top w:val="nil"/>
              <w:left w:val="nil"/>
              <w:bottom w:val="single" w:sz="4" w:space="0" w:color="auto"/>
              <w:right w:val="single" w:sz="4" w:space="0" w:color="auto"/>
            </w:tcBorders>
            <w:shd w:val="clear" w:color="auto" w:fill="auto"/>
            <w:noWrap/>
            <w:vAlign w:val="bottom"/>
            <w:hideMark/>
          </w:tcPr>
          <w:p w14:paraId="713F052C" w14:textId="67273213"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0.025</w:t>
            </w:r>
          </w:p>
        </w:tc>
        <w:tc>
          <w:tcPr>
            <w:tcW w:w="1194" w:type="dxa"/>
            <w:tcBorders>
              <w:top w:val="nil"/>
              <w:left w:val="nil"/>
              <w:bottom w:val="single" w:sz="4" w:space="0" w:color="auto"/>
              <w:right w:val="single" w:sz="4" w:space="0" w:color="auto"/>
            </w:tcBorders>
            <w:shd w:val="clear" w:color="auto" w:fill="auto"/>
            <w:noWrap/>
            <w:vAlign w:val="bottom"/>
            <w:hideMark/>
          </w:tcPr>
          <w:p w14:paraId="19B65D5A" w14:textId="0101AACD"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0.050</w:t>
            </w:r>
          </w:p>
        </w:tc>
      </w:tr>
      <w:tr w:rsidR="009149C5" w:rsidRPr="00AC2BC7" w14:paraId="0995774F"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69E2298"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r19</w:t>
            </w:r>
          </w:p>
        </w:tc>
        <w:tc>
          <w:tcPr>
            <w:tcW w:w="1427" w:type="dxa"/>
            <w:tcBorders>
              <w:top w:val="nil"/>
              <w:left w:val="nil"/>
              <w:bottom w:val="single" w:sz="4" w:space="0" w:color="auto"/>
              <w:right w:val="single" w:sz="4" w:space="0" w:color="auto"/>
            </w:tcBorders>
            <w:shd w:val="clear" w:color="auto" w:fill="auto"/>
            <w:noWrap/>
            <w:vAlign w:val="bottom"/>
            <w:hideMark/>
          </w:tcPr>
          <w:p w14:paraId="1BA1F870" w14:textId="4DA4BF71"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23</w:t>
            </w:r>
          </w:p>
        </w:tc>
        <w:tc>
          <w:tcPr>
            <w:tcW w:w="1053" w:type="dxa"/>
            <w:tcBorders>
              <w:top w:val="nil"/>
              <w:left w:val="nil"/>
              <w:bottom w:val="single" w:sz="4" w:space="0" w:color="auto"/>
              <w:right w:val="single" w:sz="4" w:space="0" w:color="auto"/>
            </w:tcBorders>
            <w:shd w:val="clear" w:color="auto" w:fill="auto"/>
            <w:noWrap/>
            <w:vAlign w:val="bottom"/>
            <w:hideMark/>
          </w:tcPr>
          <w:p w14:paraId="2FC4A4A6" w14:textId="1937B083"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-0.010</w:t>
            </w:r>
          </w:p>
        </w:tc>
        <w:tc>
          <w:tcPr>
            <w:tcW w:w="1194" w:type="dxa"/>
            <w:tcBorders>
              <w:top w:val="nil"/>
              <w:left w:val="nil"/>
              <w:bottom w:val="single" w:sz="4" w:space="0" w:color="auto"/>
              <w:right w:val="single" w:sz="4" w:space="0" w:color="auto"/>
            </w:tcBorders>
            <w:shd w:val="clear" w:color="auto" w:fill="auto"/>
            <w:noWrap/>
            <w:vAlign w:val="bottom"/>
            <w:hideMark/>
          </w:tcPr>
          <w:p w14:paraId="25ED447B" w14:textId="7D76FEF0"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0.081</w:t>
            </w:r>
          </w:p>
        </w:tc>
      </w:tr>
      <w:tr w:rsidR="009149C5" w:rsidRPr="00AC2BC7" w14:paraId="654AEBDD"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60EC27A"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r20</w:t>
            </w:r>
          </w:p>
        </w:tc>
        <w:tc>
          <w:tcPr>
            <w:tcW w:w="1427" w:type="dxa"/>
            <w:tcBorders>
              <w:top w:val="nil"/>
              <w:left w:val="nil"/>
              <w:bottom w:val="single" w:sz="4" w:space="0" w:color="auto"/>
              <w:right w:val="single" w:sz="4" w:space="0" w:color="auto"/>
            </w:tcBorders>
            <w:shd w:val="clear" w:color="auto" w:fill="auto"/>
            <w:noWrap/>
            <w:vAlign w:val="bottom"/>
            <w:hideMark/>
          </w:tcPr>
          <w:p w14:paraId="3F47A5AD" w14:textId="79557843"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24</w:t>
            </w:r>
          </w:p>
        </w:tc>
        <w:tc>
          <w:tcPr>
            <w:tcW w:w="1053" w:type="dxa"/>
            <w:tcBorders>
              <w:top w:val="nil"/>
              <w:left w:val="nil"/>
              <w:bottom w:val="single" w:sz="4" w:space="0" w:color="auto"/>
              <w:right w:val="single" w:sz="4" w:space="0" w:color="auto"/>
            </w:tcBorders>
            <w:shd w:val="clear" w:color="auto" w:fill="auto"/>
            <w:noWrap/>
            <w:vAlign w:val="bottom"/>
            <w:hideMark/>
          </w:tcPr>
          <w:p w14:paraId="3AABB225" w14:textId="49E3873C"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0.165</w:t>
            </w:r>
          </w:p>
        </w:tc>
        <w:tc>
          <w:tcPr>
            <w:tcW w:w="1194" w:type="dxa"/>
            <w:tcBorders>
              <w:top w:val="nil"/>
              <w:left w:val="nil"/>
              <w:bottom w:val="single" w:sz="4" w:space="0" w:color="auto"/>
              <w:right w:val="single" w:sz="4" w:space="0" w:color="auto"/>
            </w:tcBorders>
            <w:shd w:val="clear" w:color="auto" w:fill="auto"/>
            <w:noWrap/>
            <w:vAlign w:val="bottom"/>
            <w:hideMark/>
          </w:tcPr>
          <w:p w14:paraId="67DDF62D" w14:textId="68652C57"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0.046</w:t>
            </w:r>
          </w:p>
        </w:tc>
      </w:tr>
      <w:tr w:rsidR="009149C5" w:rsidRPr="00AC2BC7" w14:paraId="4C39D6D1"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6476D02"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r21</w:t>
            </w:r>
          </w:p>
        </w:tc>
        <w:tc>
          <w:tcPr>
            <w:tcW w:w="1427" w:type="dxa"/>
            <w:tcBorders>
              <w:top w:val="nil"/>
              <w:left w:val="nil"/>
              <w:bottom w:val="single" w:sz="4" w:space="0" w:color="auto"/>
              <w:right w:val="single" w:sz="4" w:space="0" w:color="auto"/>
            </w:tcBorders>
            <w:shd w:val="clear" w:color="auto" w:fill="auto"/>
            <w:noWrap/>
            <w:vAlign w:val="bottom"/>
            <w:hideMark/>
          </w:tcPr>
          <w:p w14:paraId="7D2D9DFF" w14:textId="456D0C46"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25</w:t>
            </w:r>
          </w:p>
        </w:tc>
        <w:tc>
          <w:tcPr>
            <w:tcW w:w="1053" w:type="dxa"/>
            <w:tcBorders>
              <w:top w:val="nil"/>
              <w:left w:val="nil"/>
              <w:bottom w:val="single" w:sz="4" w:space="0" w:color="auto"/>
              <w:right w:val="single" w:sz="4" w:space="0" w:color="auto"/>
            </w:tcBorders>
            <w:shd w:val="clear" w:color="auto" w:fill="auto"/>
            <w:noWrap/>
            <w:vAlign w:val="bottom"/>
            <w:hideMark/>
          </w:tcPr>
          <w:p w14:paraId="5A132949" w14:textId="1561D3D6"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0.579</w:t>
            </w:r>
          </w:p>
        </w:tc>
        <w:tc>
          <w:tcPr>
            <w:tcW w:w="1194" w:type="dxa"/>
            <w:tcBorders>
              <w:top w:val="nil"/>
              <w:left w:val="nil"/>
              <w:bottom w:val="single" w:sz="4" w:space="0" w:color="auto"/>
              <w:right w:val="single" w:sz="4" w:space="0" w:color="auto"/>
            </w:tcBorders>
            <w:shd w:val="clear" w:color="auto" w:fill="auto"/>
            <w:noWrap/>
            <w:vAlign w:val="bottom"/>
            <w:hideMark/>
          </w:tcPr>
          <w:p w14:paraId="2C23B3DB" w14:textId="0EB69752"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0.046</w:t>
            </w:r>
          </w:p>
        </w:tc>
      </w:tr>
      <w:tr w:rsidR="009149C5" w:rsidRPr="00AC2BC7" w14:paraId="5C8E367D"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1F2F574"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r22</w:t>
            </w:r>
          </w:p>
        </w:tc>
        <w:tc>
          <w:tcPr>
            <w:tcW w:w="1427" w:type="dxa"/>
            <w:tcBorders>
              <w:top w:val="nil"/>
              <w:left w:val="nil"/>
              <w:bottom w:val="single" w:sz="4" w:space="0" w:color="auto"/>
              <w:right w:val="single" w:sz="4" w:space="0" w:color="auto"/>
            </w:tcBorders>
            <w:shd w:val="clear" w:color="auto" w:fill="auto"/>
            <w:noWrap/>
            <w:vAlign w:val="bottom"/>
            <w:hideMark/>
          </w:tcPr>
          <w:p w14:paraId="40BF41B3" w14:textId="603E6386"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26</w:t>
            </w:r>
          </w:p>
        </w:tc>
        <w:tc>
          <w:tcPr>
            <w:tcW w:w="1053" w:type="dxa"/>
            <w:tcBorders>
              <w:top w:val="nil"/>
              <w:left w:val="nil"/>
              <w:bottom w:val="single" w:sz="4" w:space="0" w:color="auto"/>
              <w:right w:val="single" w:sz="4" w:space="0" w:color="auto"/>
            </w:tcBorders>
            <w:shd w:val="clear" w:color="auto" w:fill="auto"/>
            <w:noWrap/>
            <w:vAlign w:val="bottom"/>
            <w:hideMark/>
          </w:tcPr>
          <w:p w14:paraId="044852B6" w14:textId="43508DAF"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0.610</w:t>
            </w:r>
          </w:p>
        </w:tc>
        <w:tc>
          <w:tcPr>
            <w:tcW w:w="1194" w:type="dxa"/>
            <w:tcBorders>
              <w:top w:val="nil"/>
              <w:left w:val="nil"/>
              <w:bottom w:val="single" w:sz="4" w:space="0" w:color="auto"/>
              <w:right w:val="single" w:sz="4" w:space="0" w:color="auto"/>
            </w:tcBorders>
            <w:shd w:val="clear" w:color="auto" w:fill="auto"/>
            <w:noWrap/>
            <w:vAlign w:val="bottom"/>
            <w:hideMark/>
          </w:tcPr>
          <w:p w14:paraId="6599CC0F" w14:textId="4B83A427"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0.042</w:t>
            </w:r>
          </w:p>
        </w:tc>
      </w:tr>
      <w:tr w:rsidR="009149C5" w:rsidRPr="00AC2BC7" w14:paraId="75DF37CE"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6CD3126"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r23</w:t>
            </w:r>
          </w:p>
        </w:tc>
        <w:tc>
          <w:tcPr>
            <w:tcW w:w="1427" w:type="dxa"/>
            <w:tcBorders>
              <w:top w:val="nil"/>
              <w:left w:val="nil"/>
              <w:bottom w:val="single" w:sz="4" w:space="0" w:color="auto"/>
              <w:right w:val="single" w:sz="4" w:space="0" w:color="auto"/>
            </w:tcBorders>
            <w:shd w:val="clear" w:color="auto" w:fill="auto"/>
            <w:noWrap/>
            <w:vAlign w:val="bottom"/>
            <w:hideMark/>
          </w:tcPr>
          <w:p w14:paraId="18E3738C" w14:textId="58EDB4EC"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27</w:t>
            </w:r>
          </w:p>
        </w:tc>
        <w:tc>
          <w:tcPr>
            <w:tcW w:w="1053" w:type="dxa"/>
            <w:tcBorders>
              <w:top w:val="nil"/>
              <w:left w:val="nil"/>
              <w:bottom w:val="single" w:sz="4" w:space="0" w:color="auto"/>
              <w:right w:val="single" w:sz="4" w:space="0" w:color="auto"/>
            </w:tcBorders>
            <w:shd w:val="clear" w:color="auto" w:fill="auto"/>
            <w:noWrap/>
            <w:vAlign w:val="bottom"/>
            <w:hideMark/>
          </w:tcPr>
          <w:p w14:paraId="68D4752F" w14:textId="626AD96F"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0.449</w:t>
            </w:r>
          </w:p>
        </w:tc>
        <w:tc>
          <w:tcPr>
            <w:tcW w:w="1194" w:type="dxa"/>
            <w:tcBorders>
              <w:top w:val="nil"/>
              <w:left w:val="nil"/>
              <w:bottom w:val="single" w:sz="4" w:space="0" w:color="auto"/>
              <w:right w:val="single" w:sz="4" w:space="0" w:color="auto"/>
            </w:tcBorders>
            <w:shd w:val="clear" w:color="auto" w:fill="auto"/>
            <w:noWrap/>
            <w:vAlign w:val="bottom"/>
            <w:hideMark/>
          </w:tcPr>
          <w:p w14:paraId="39A0762C" w14:textId="6874F9F3"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0.049</w:t>
            </w:r>
          </w:p>
        </w:tc>
      </w:tr>
      <w:tr w:rsidR="009149C5" w:rsidRPr="00AC2BC7" w14:paraId="35ED9F00"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0F6CDD57"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r24</w:t>
            </w:r>
          </w:p>
        </w:tc>
        <w:tc>
          <w:tcPr>
            <w:tcW w:w="1427" w:type="dxa"/>
            <w:tcBorders>
              <w:top w:val="nil"/>
              <w:left w:val="nil"/>
              <w:bottom w:val="single" w:sz="4" w:space="0" w:color="auto"/>
              <w:right w:val="single" w:sz="4" w:space="0" w:color="auto"/>
            </w:tcBorders>
            <w:shd w:val="clear" w:color="auto" w:fill="auto"/>
            <w:noWrap/>
            <w:vAlign w:val="bottom"/>
            <w:hideMark/>
          </w:tcPr>
          <w:p w14:paraId="5E73FDB0" w14:textId="443C9B33"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28</w:t>
            </w:r>
          </w:p>
        </w:tc>
        <w:tc>
          <w:tcPr>
            <w:tcW w:w="1053" w:type="dxa"/>
            <w:tcBorders>
              <w:top w:val="nil"/>
              <w:left w:val="nil"/>
              <w:bottom w:val="single" w:sz="4" w:space="0" w:color="auto"/>
              <w:right w:val="single" w:sz="4" w:space="0" w:color="auto"/>
            </w:tcBorders>
            <w:shd w:val="clear" w:color="auto" w:fill="auto"/>
            <w:noWrap/>
            <w:vAlign w:val="bottom"/>
            <w:hideMark/>
          </w:tcPr>
          <w:p w14:paraId="22D833CA" w14:textId="4354E754"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0.047</w:t>
            </w:r>
          </w:p>
        </w:tc>
        <w:tc>
          <w:tcPr>
            <w:tcW w:w="1194" w:type="dxa"/>
            <w:tcBorders>
              <w:top w:val="nil"/>
              <w:left w:val="nil"/>
              <w:bottom w:val="single" w:sz="4" w:space="0" w:color="auto"/>
              <w:right w:val="single" w:sz="4" w:space="0" w:color="auto"/>
            </w:tcBorders>
            <w:shd w:val="clear" w:color="auto" w:fill="auto"/>
            <w:noWrap/>
            <w:vAlign w:val="bottom"/>
            <w:hideMark/>
          </w:tcPr>
          <w:p w14:paraId="5B47809B" w14:textId="1D3B3A1B"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0.077</w:t>
            </w:r>
          </w:p>
        </w:tc>
      </w:tr>
      <w:tr w:rsidR="009149C5" w:rsidRPr="00AC2BC7" w14:paraId="6E58F930"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7F980BD"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r25</w:t>
            </w:r>
          </w:p>
        </w:tc>
        <w:tc>
          <w:tcPr>
            <w:tcW w:w="1427" w:type="dxa"/>
            <w:tcBorders>
              <w:top w:val="nil"/>
              <w:left w:val="nil"/>
              <w:bottom w:val="single" w:sz="4" w:space="0" w:color="auto"/>
              <w:right w:val="single" w:sz="4" w:space="0" w:color="auto"/>
            </w:tcBorders>
            <w:shd w:val="clear" w:color="auto" w:fill="auto"/>
            <w:noWrap/>
            <w:vAlign w:val="bottom"/>
            <w:hideMark/>
          </w:tcPr>
          <w:p w14:paraId="39CCC646" w14:textId="719ED3D4"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29</w:t>
            </w:r>
          </w:p>
        </w:tc>
        <w:tc>
          <w:tcPr>
            <w:tcW w:w="1053" w:type="dxa"/>
            <w:tcBorders>
              <w:top w:val="nil"/>
              <w:left w:val="nil"/>
              <w:bottom w:val="single" w:sz="4" w:space="0" w:color="auto"/>
              <w:right w:val="single" w:sz="4" w:space="0" w:color="auto"/>
            </w:tcBorders>
            <w:shd w:val="clear" w:color="auto" w:fill="auto"/>
            <w:noWrap/>
            <w:vAlign w:val="bottom"/>
            <w:hideMark/>
          </w:tcPr>
          <w:p w14:paraId="7FDF4FC1" w14:textId="40252570"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0.527</w:t>
            </w:r>
          </w:p>
        </w:tc>
        <w:tc>
          <w:tcPr>
            <w:tcW w:w="1194" w:type="dxa"/>
            <w:tcBorders>
              <w:top w:val="nil"/>
              <w:left w:val="nil"/>
              <w:bottom w:val="single" w:sz="4" w:space="0" w:color="auto"/>
              <w:right w:val="single" w:sz="4" w:space="0" w:color="auto"/>
            </w:tcBorders>
            <w:shd w:val="clear" w:color="auto" w:fill="auto"/>
            <w:noWrap/>
            <w:vAlign w:val="bottom"/>
            <w:hideMark/>
          </w:tcPr>
          <w:p w14:paraId="3503A7A2" w14:textId="3DEAC50C"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0.047</w:t>
            </w:r>
          </w:p>
        </w:tc>
      </w:tr>
      <w:tr w:rsidR="009149C5" w:rsidRPr="00AC2BC7" w14:paraId="4A32C7AD"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65CA058"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r26</w:t>
            </w:r>
          </w:p>
        </w:tc>
        <w:tc>
          <w:tcPr>
            <w:tcW w:w="1427" w:type="dxa"/>
            <w:tcBorders>
              <w:top w:val="nil"/>
              <w:left w:val="nil"/>
              <w:bottom w:val="single" w:sz="4" w:space="0" w:color="auto"/>
              <w:right w:val="single" w:sz="4" w:space="0" w:color="auto"/>
            </w:tcBorders>
            <w:shd w:val="clear" w:color="auto" w:fill="auto"/>
            <w:noWrap/>
            <w:vAlign w:val="bottom"/>
            <w:hideMark/>
          </w:tcPr>
          <w:p w14:paraId="0A803E31" w14:textId="02CCA0C9"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30</w:t>
            </w:r>
          </w:p>
        </w:tc>
        <w:tc>
          <w:tcPr>
            <w:tcW w:w="1053" w:type="dxa"/>
            <w:tcBorders>
              <w:top w:val="nil"/>
              <w:left w:val="nil"/>
              <w:bottom w:val="single" w:sz="4" w:space="0" w:color="auto"/>
              <w:right w:val="single" w:sz="4" w:space="0" w:color="auto"/>
            </w:tcBorders>
            <w:shd w:val="clear" w:color="auto" w:fill="auto"/>
            <w:noWrap/>
            <w:vAlign w:val="bottom"/>
            <w:hideMark/>
          </w:tcPr>
          <w:p w14:paraId="74DE98B1" w14:textId="3F17E744"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0.483</w:t>
            </w:r>
          </w:p>
        </w:tc>
        <w:tc>
          <w:tcPr>
            <w:tcW w:w="1194" w:type="dxa"/>
            <w:tcBorders>
              <w:top w:val="nil"/>
              <w:left w:val="nil"/>
              <w:bottom w:val="single" w:sz="4" w:space="0" w:color="auto"/>
              <w:right w:val="single" w:sz="4" w:space="0" w:color="auto"/>
            </w:tcBorders>
            <w:shd w:val="clear" w:color="auto" w:fill="auto"/>
            <w:noWrap/>
            <w:vAlign w:val="bottom"/>
            <w:hideMark/>
          </w:tcPr>
          <w:p w14:paraId="1A94B5AA" w14:textId="62FE8D30"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0.097</w:t>
            </w:r>
          </w:p>
        </w:tc>
      </w:tr>
      <w:tr w:rsidR="009149C5" w:rsidRPr="00AC2BC7" w14:paraId="26931D23"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9230ED8"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r27</w:t>
            </w:r>
          </w:p>
        </w:tc>
        <w:tc>
          <w:tcPr>
            <w:tcW w:w="1427" w:type="dxa"/>
            <w:tcBorders>
              <w:top w:val="nil"/>
              <w:left w:val="nil"/>
              <w:bottom w:val="single" w:sz="4" w:space="0" w:color="auto"/>
              <w:right w:val="single" w:sz="4" w:space="0" w:color="auto"/>
            </w:tcBorders>
            <w:shd w:val="clear" w:color="auto" w:fill="auto"/>
            <w:noWrap/>
            <w:vAlign w:val="bottom"/>
            <w:hideMark/>
          </w:tcPr>
          <w:p w14:paraId="70FD2385" w14:textId="76B8656F"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31</w:t>
            </w:r>
          </w:p>
        </w:tc>
        <w:tc>
          <w:tcPr>
            <w:tcW w:w="1053" w:type="dxa"/>
            <w:tcBorders>
              <w:top w:val="nil"/>
              <w:left w:val="nil"/>
              <w:bottom w:val="single" w:sz="4" w:space="0" w:color="auto"/>
              <w:right w:val="single" w:sz="4" w:space="0" w:color="auto"/>
            </w:tcBorders>
            <w:shd w:val="clear" w:color="auto" w:fill="auto"/>
            <w:noWrap/>
            <w:vAlign w:val="bottom"/>
            <w:hideMark/>
          </w:tcPr>
          <w:p w14:paraId="3A48A838" w14:textId="457D8432"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0.581</w:t>
            </w:r>
          </w:p>
        </w:tc>
        <w:tc>
          <w:tcPr>
            <w:tcW w:w="1194" w:type="dxa"/>
            <w:tcBorders>
              <w:top w:val="nil"/>
              <w:left w:val="nil"/>
              <w:bottom w:val="single" w:sz="4" w:space="0" w:color="auto"/>
              <w:right w:val="single" w:sz="4" w:space="0" w:color="auto"/>
            </w:tcBorders>
            <w:shd w:val="clear" w:color="auto" w:fill="auto"/>
            <w:noWrap/>
            <w:vAlign w:val="bottom"/>
            <w:hideMark/>
          </w:tcPr>
          <w:p w14:paraId="106A2C69" w14:textId="2B849F6B"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0.066</w:t>
            </w:r>
          </w:p>
        </w:tc>
      </w:tr>
      <w:tr w:rsidR="009149C5" w:rsidRPr="00AC2BC7" w14:paraId="7FB67D69"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4D18AB3"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r28</w:t>
            </w:r>
          </w:p>
        </w:tc>
        <w:tc>
          <w:tcPr>
            <w:tcW w:w="1427" w:type="dxa"/>
            <w:tcBorders>
              <w:top w:val="nil"/>
              <w:left w:val="nil"/>
              <w:bottom w:val="single" w:sz="4" w:space="0" w:color="auto"/>
              <w:right w:val="single" w:sz="4" w:space="0" w:color="auto"/>
            </w:tcBorders>
            <w:shd w:val="clear" w:color="auto" w:fill="auto"/>
            <w:noWrap/>
            <w:vAlign w:val="bottom"/>
            <w:hideMark/>
          </w:tcPr>
          <w:p w14:paraId="25C2DDB4" w14:textId="0C86139B"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32</w:t>
            </w:r>
          </w:p>
        </w:tc>
        <w:tc>
          <w:tcPr>
            <w:tcW w:w="1053" w:type="dxa"/>
            <w:tcBorders>
              <w:top w:val="nil"/>
              <w:left w:val="nil"/>
              <w:bottom w:val="single" w:sz="4" w:space="0" w:color="auto"/>
              <w:right w:val="single" w:sz="4" w:space="0" w:color="auto"/>
            </w:tcBorders>
            <w:shd w:val="clear" w:color="auto" w:fill="auto"/>
            <w:noWrap/>
            <w:vAlign w:val="bottom"/>
            <w:hideMark/>
          </w:tcPr>
          <w:p w14:paraId="3FC012CA" w14:textId="6D73AEA4"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0.598</w:t>
            </w:r>
          </w:p>
        </w:tc>
        <w:tc>
          <w:tcPr>
            <w:tcW w:w="1194" w:type="dxa"/>
            <w:tcBorders>
              <w:top w:val="nil"/>
              <w:left w:val="nil"/>
              <w:bottom w:val="single" w:sz="4" w:space="0" w:color="auto"/>
              <w:right w:val="single" w:sz="4" w:space="0" w:color="auto"/>
            </w:tcBorders>
            <w:shd w:val="clear" w:color="auto" w:fill="auto"/>
            <w:noWrap/>
            <w:vAlign w:val="bottom"/>
            <w:hideMark/>
          </w:tcPr>
          <w:p w14:paraId="469DA567" w14:textId="344336F6"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0.056</w:t>
            </w:r>
          </w:p>
        </w:tc>
      </w:tr>
      <w:tr w:rsidR="009149C5" w:rsidRPr="00AC2BC7" w14:paraId="5878F25E"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6F6268C"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r29</w:t>
            </w:r>
          </w:p>
        </w:tc>
        <w:tc>
          <w:tcPr>
            <w:tcW w:w="1427" w:type="dxa"/>
            <w:tcBorders>
              <w:top w:val="nil"/>
              <w:left w:val="nil"/>
              <w:bottom w:val="single" w:sz="4" w:space="0" w:color="auto"/>
              <w:right w:val="single" w:sz="4" w:space="0" w:color="auto"/>
            </w:tcBorders>
            <w:shd w:val="clear" w:color="auto" w:fill="auto"/>
            <w:noWrap/>
            <w:vAlign w:val="bottom"/>
            <w:hideMark/>
          </w:tcPr>
          <w:p w14:paraId="7C319702" w14:textId="4E1EAD3F"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33</w:t>
            </w:r>
          </w:p>
        </w:tc>
        <w:tc>
          <w:tcPr>
            <w:tcW w:w="1053" w:type="dxa"/>
            <w:tcBorders>
              <w:top w:val="nil"/>
              <w:left w:val="nil"/>
              <w:bottom w:val="single" w:sz="4" w:space="0" w:color="auto"/>
              <w:right w:val="single" w:sz="4" w:space="0" w:color="auto"/>
            </w:tcBorders>
            <w:shd w:val="clear" w:color="auto" w:fill="auto"/>
            <w:noWrap/>
            <w:vAlign w:val="bottom"/>
            <w:hideMark/>
          </w:tcPr>
          <w:p w14:paraId="157B12E1" w14:textId="35B737AF"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-0.082</w:t>
            </w:r>
          </w:p>
        </w:tc>
        <w:tc>
          <w:tcPr>
            <w:tcW w:w="1194" w:type="dxa"/>
            <w:tcBorders>
              <w:top w:val="nil"/>
              <w:left w:val="nil"/>
              <w:bottom w:val="single" w:sz="4" w:space="0" w:color="auto"/>
              <w:right w:val="single" w:sz="4" w:space="0" w:color="auto"/>
            </w:tcBorders>
            <w:shd w:val="clear" w:color="auto" w:fill="auto"/>
            <w:noWrap/>
            <w:vAlign w:val="bottom"/>
            <w:hideMark/>
          </w:tcPr>
          <w:p w14:paraId="2D8FEBA0" w14:textId="3A93985A"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0.085</w:t>
            </w:r>
          </w:p>
        </w:tc>
      </w:tr>
      <w:tr w:rsidR="009149C5" w:rsidRPr="00AC2BC7" w14:paraId="12248DDD"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2F6E8E6"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r30</w:t>
            </w:r>
          </w:p>
        </w:tc>
        <w:tc>
          <w:tcPr>
            <w:tcW w:w="1427" w:type="dxa"/>
            <w:tcBorders>
              <w:top w:val="nil"/>
              <w:left w:val="nil"/>
              <w:bottom w:val="single" w:sz="4" w:space="0" w:color="auto"/>
              <w:right w:val="single" w:sz="4" w:space="0" w:color="auto"/>
            </w:tcBorders>
            <w:shd w:val="clear" w:color="auto" w:fill="auto"/>
            <w:noWrap/>
            <w:vAlign w:val="bottom"/>
            <w:hideMark/>
          </w:tcPr>
          <w:p w14:paraId="455196D9" w14:textId="5156F95E"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34</w:t>
            </w:r>
          </w:p>
        </w:tc>
        <w:tc>
          <w:tcPr>
            <w:tcW w:w="1053" w:type="dxa"/>
            <w:tcBorders>
              <w:top w:val="nil"/>
              <w:left w:val="nil"/>
              <w:bottom w:val="single" w:sz="4" w:space="0" w:color="auto"/>
              <w:right w:val="single" w:sz="4" w:space="0" w:color="auto"/>
            </w:tcBorders>
            <w:shd w:val="clear" w:color="auto" w:fill="auto"/>
            <w:noWrap/>
            <w:vAlign w:val="bottom"/>
            <w:hideMark/>
          </w:tcPr>
          <w:p w14:paraId="6614CDC2" w14:textId="06CFD78B"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0.819</w:t>
            </w:r>
          </w:p>
        </w:tc>
        <w:tc>
          <w:tcPr>
            <w:tcW w:w="1194" w:type="dxa"/>
            <w:tcBorders>
              <w:top w:val="nil"/>
              <w:left w:val="nil"/>
              <w:bottom w:val="single" w:sz="4" w:space="0" w:color="auto"/>
              <w:right w:val="single" w:sz="4" w:space="0" w:color="auto"/>
            </w:tcBorders>
            <w:shd w:val="clear" w:color="auto" w:fill="auto"/>
            <w:noWrap/>
            <w:vAlign w:val="bottom"/>
            <w:hideMark/>
          </w:tcPr>
          <w:p w14:paraId="47267DE4" w14:textId="22E7F80F"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0.044</w:t>
            </w:r>
          </w:p>
        </w:tc>
      </w:tr>
      <w:tr w:rsidR="009149C5" w:rsidRPr="00AC2BC7" w14:paraId="11F733CA"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F630D50"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r31</w:t>
            </w:r>
          </w:p>
        </w:tc>
        <w:tc>
          <w:tcPr>
            <w:tcW w:w="1427" w:type="dxa"/>
            <w:tcBorders>
              <w:top w:val="nil"/>
              <w:left w:val="nil"/>
              <w:bottom w:val="single" w:sz="4" w:space="0" w:color="auto"/>
              <w:right w:val="single" w:sz="4" w:space="0" w:color="auto"/>
            </w:tcBorders>
            <w:shd w:val="clear" w:color="auto" w:fill="auto"/>
            <w:noWrap/>
            <w:vAlign w:val="bottom"/>
            <w:hideMark/>
          </w:tcPr>
          <w:p w14:paraId="3602681E" w14:textId="513A458D"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35</w:t>
            </w:r>
          </w:p>
        </w:tc>
        <w:tc>
          <w:tcPr>
            <w:tcW w:w="1053" w:type="dxa"/>
            <w:tcBorders>
              <w:top w:val="nil"/>
              <w:left w:val="nil"/>
              <w:bottom w:val="single" w:sz="4" w:space="0" w:color="auto"/>
              <w:right w:val="single" w:sz="4" w:space="0" w:color="auto"/>
            </w:tcBorders>
            <w:shd w:val="clear" w:color="auto" w:fill="auto"/>
            <w:noWrap/>
            <w:vAlign w:val="bottom"/>
            <w:hideMark/>
          </w:tcPr>
          <w:p w14:paraId="15610744" w14:textId="4F241BDA"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0.252</w:t>
            </w:r>
          </w:p>
        </w:tc>
        <w:tc>
          <w:tcPr>
            <w:tcW w:w="1194" w:type="dxa"/>
            <w:tcBorders>
              <w:top w:val="nil"/>
              <w:left w:val="nil"/>
              <w:bottom w:val="single" w:sz="4" w:space="0" w:color="auto"/>
              <w:right w:val="single" w:sz="4" w:space="0" w:color="auto"/>
            </w:tcBorders>
            <w:shd w:val="clear" w:color="auto" w:fill="auto"/>
            <w:noWrap/>
            <w:vAlign w:val="bottom"/>
            <w:hideMark/>
          </w:tcPr>
          <w:p w14:paraId="4660704D" w14:textId="2C0835AB"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0.062</w:t>
            </w:r>
          </w:p>
        </w:tc>
      </w:tr>
      <w:tr w:rsidR="009149C5" w:rsidRPr="00AC2BC7" w14:paraId="7C00D99C"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38A9630"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r32</w:t>
            </w:r>
          </w:p>
        </w:tc>
        <w:tc>
          <w:tcPr>
            <w:tcW w:w="1427" w:type="dxa"/>
            <w:tcBorders>
              <w:top w:val="nil"/>
              <w:left w:val="nil"/>
              <w:bottom w:val="single" w:sz="4" w:space="0" w:color="auto"/>
              <w:right w:val="single" w:sz="4" w:space="0" w:color="auto"/>
            </w:tcBorders>
            <w:shd w:val="clear" w:color="auto" w:fill="auto"/>
            <w:noWrap/>
            <w:vAlign w:val="bottom"/>
            <w:hideMark/>
          </w:tcPr>
          <w:p w14:paraId="06B0860F" w14:textId="48CAAE71"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36</w:t>
            </w:r>
          </w:p>
        </w:tc>
        <w:tc>
          <w:tcPr>
            <w:tcW w:w="1053" w:type="dxa"/>
            <w:tcBorders>
              <w:top w:val="nil"/>
              <w:left w:val="nil"/>
              <w:bottom w:val="single" w:sz="4" w:space="0" w:color="auto"/>
              <w:right w:val="single" w:sz="4" w:space="0" w:color="auto"/>
            </w:tcBorders>
            <w:shd w:val="clear" w:color="auto" w:fill="auto"/>
            <w:noWrap/>
            <w:vAlign w:val="bottom"/>
            <w:hideMark/>
          </w:tcPr>
          <w:p w14:paraId="3D13A007" w14:textId="0C01C635"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1.227</w:t>
            </w:r>
          </w:p>
        </w:tc>
        <w:tc>
          <w:tcPr>
            <w:tcW w:w="1194" w:type="dxa"/>
            <w:tcBorders>
              <w:top w:val="nil"/>
              <w:left w:val="nil"/>
              <w:bottom w:val="single" w:sz="4" w:space="0" w:color="auto"/>
              <w:right w:val="single" w:sz="4" w:space="0" w:color="auto"/>
            </w:tcBorders>
            <w:shd w:val="clear" w:color="auto" w:fill="auto"/>
            <w:noWrap/>
            <w:vAlign w:val="bottom"/>
            <w:hideMark/>
          </w:tcPr>
          <w:p w14:paraId="34EEF753" w14:textId="7687B924"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0.040</w:t>
            </w:r>
          </w:p>
        </w:tc>
      </w:tr>
      <w:tr w:rsidR="009149C5" w:rsidRPr="00AC2BC7" w14:paraId="19FC34FC"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7A92D68"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r33</w:t>
            </w:r>
          </w:p>
        </w:tc>
        <w:tc>
          <w:tcPr>
            <w:tcW w:w="1427" w:type="dxa"/>
            <w:tcBorders>
              <w:top w:val="nil"/>
              <w:left w:val="nil"/>
              <w:bottom w:val="single" w:sz="4" w:space="0" w:color="auto"/>
              <w:right w:val="single" w:sz="4" w:space="0" w:color="auto"/>
            </w:tcBorders>
            <w:shd w:val="clear" w:color="auto" w:fill="auto"/>
            <w:noWrap/>
            <w:vAlign w:val="bottom"/>
            <w:hideMark/>
          </w:tcPr>
          <w:p w14:paraId="403FD2D0" w14:textId="7B212FD1"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37</w:t>
            </w:r>
          </w:p>
        </w:tc>
        <w:tc>
          <w:tcPr>
            <w:tcW w:w="1053" w:type="dxa"/>
            <w:tcBorders>
              <w:top w:val="nil"/>
              <w:left w:val="nil"/>
              <w:bottom w:val="single" w:sz="4" w:space="0" w:color="auto"/>
              <w:right w:val="single" w:sz="4" w:space="0" w:color="auto"/>
            </w:tcBorders>
            <w:shd w:val="clear" w:color="auto" w:fill="auto"/>
            <w:noWrap/>
            <w:vAlign w:val="bottom"/>
            <w:hideMark/>
          </w:tcPr>
          <w:p w14:paraId="6B873BD8" w14:textId="7B2AF931"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0.248</w:t>
            </w:r>
          </w:p>
        </w:tc>
        <w:tc>
          <w:tcPr>
            <w:tcW w:w="1194" w:type="dxa"/>
            <w:tcBorders>
              <w:top w:val="nil"/>
              <w:left w:val="nil"/>
              <w:bottom w:val="single" w:sz="4" w:space="0" w:color="auto"/>
              <w:right w:val="single" w:sz="4" w:space="0" w:color="auto"/>
            </w:tcBorders>
            <w:shd w:val="clear" w:color="auto" w:fill="auto"/>
            <w:noWrap/>
            <w:vAlign w:val="bottom"/>
            <w:hideMark/>
          </w:tcPr>
          <w:p w14:paraId="3E0FB5D8" w14:textId="2A2DA70B"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0.044</w:t>
            </w:r>
          </w:p>
        </w:tc>
      </w:tr>
      <w:tr w:rsidR="009149C5" w:rsidRPr="00AC2BC7" w14:paraId="0FCA5B9F"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B89685B"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r34</w:t>
            </w:r>
          </w:p>
        </w:tc>
        <w:tc>
          <w:tcPr>
            <w:tcW w:w="1427" w:type="dxa"/>
            <w:tcBorders>
              <w:top w:val="nil"/>
              <w:left w:val="nil"/>
              <w:bottom w:val="single" w:sz="4" w:space="0" w:color="auto"/>
              <w:right w:val="single" w:sz="4" w:space="0" w:color="auto"/>
            </w:tcBorders>
            <w:shd w:val="clear" w:color="auto" w:fill="auto"/>
            <w:noWrap/>
            <w:vAlign w:val="bottom"/>
            <w:hideMark/>
          </w:tcPr>
          <w:p w14:paraId="61756FD4" w14:textId="4C661151"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38</w:t>
            </w:r>
          </w:p>
        </w:tc>
        <w:tc>
          <w:tcPr>
            <w:tcW w:w="1053" w:type="dxa"/>
            <w:tcBorders>
              <w:top w:val="nil"/>
              <w:left w:val="nil"/>
              <w:bottom w:val="single" w:sz="4" w:space="0" w:color="auto"/>
              <w:right w:val="single" w:sz="4" w:space="0" w:color="auto"/>
            </w:tcBorders>
            <w:shd w:val="clear" w:color="auto" w:fill="auto"/>
            <w:noWrap/>
            <w:vAlign w:val="bottom"/>
            <w:hideMark/>
          </w:tcPr>
          <w:p w14:paraId="7150131F" w14:textId="01C1FE7C"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-0.385</w:t>
            </w:r>
          </w:p>
        </w:tc>
        <w:tc>
          <w:tcPr>
            <w:tcW w:w="1194" w:type="dxa"/>
            <w:tcBorders>
              <w:top w:val="nil"/>
              <w:left w:val="nil"/>
              <w:bottom w:val="single" w:sz="4" w:space="0" w:color="auto"/>
              <w:right w:val="single" w:sz="4" w:space="0" w:color="auto"/>
            </w:tcBorders>
            <w:shd w:val="clear" w:color="auto" w:fill="auto"/>
            <w:noWrap/>
            <w:vAlign w:val="bottom"/>
            <w:hideMark/>
          </w:tcPr>
          <w:p w14:paraId="27FA76D0" w14:textId="353585AB"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0.108</w:t>
            </w:r>
          </w:p>
        </w:tc>
      </w:tr>
      <w:tr w:rsidR="009149C5" w:rsidRPr="00AC2BC7" w14:paraId="752B8C05"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612989F3"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r35</w:t>
            </w:r>
          </w:p>
        </w:tc>
        <w:tc>
          <w:tcPr>
            <w:tcW w:w="1427" w:type="dxa"/>
            <w:tcBorders>
              <w:top w:val="nil"/>
              <w:left w:val="nil"/>
              <w:bottom w:val="single" w:sz="4" w:space="0" w:color="auto"/>
              <w:right w:val="single" w:sz="4" w:space="0" w:color="auto"/>
            </w:tcBorders>
            <w:shd w:val="clear" w:color="auto" w:fill="auto"/>
            <w:noWrap/>
            <w:vAlign w:val="bottom"/>
            <w:hideMark/>
          </w:tcPr>
          <w:p w14:paraId="119E090B" w14:textId="31014680"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39</w:t>
            </w:r>
          </w:p>
        </w:tc>
        <w:tc>
          <w:tcPr>
            <w:tcW w:w="1053" w:type="dxa"/>
            <w:tcBorders>
              <w:top w:val="nil"/>
              <w:left w:val="nil"/>
              <w:bottom w:val="single" w:sz="4" w:space="0" w:color="auto"/>
              <w:right w:val="single" w:sz="4" w:space="0" w:color="auto"/>
            </w:tcBorders>
            <w:shd w:val="clear" w:color="auto" w:fill="auto"/>
            <w:noWrap/>
            <w:vAlign w:val="bottom"/>
            <w:hideMark/>
          </w:tcPr>
          <w:p w14:paraId="76CDB5B2" w14:textId="59197F52"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0.741</w:t>
            </w:r>
          </w:p>
        </w:tc>
        <w:tc>
          <w:tcPr>
            <w:tcW w:w="1194" w:type="dxa"/>
            <w:tcBorders>
              <w:top w:val="nil"/>
              <w:left w:val="nil"/>
              <w:bottom w:val="single" w:sz="4" w:space="0" w:color="auto"/>
              <w:right w:val="single" w:sz="4" w:space="0" w:color="auto"/>
            </w:tcBorders>
            <w:shd w:val="clear" w:color="auto" w:fill="auto"/>
            <w:noWrap/>
            <w:vAlign w:val="bottom"/>
            <w:hideMark/>
          </w:tcPr>
          <w:p w14:paraId="4CC0718A" w14:textId="378DFCAB"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0.042</w:t>
            </w:r>
          </w:p>
        </w:tc>
      </w:tr>
      <w:tr w:rsidR="009149C5" w:rsidRPr="00AC2BC7" w14:paraId="2C1B33E2"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2A781F2"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lastRenderedPageBreak/>
              <w:t>r36</w:t>
            </w:r>
          </w:p>
        </w:tc>
        <w:tc>
          <w:tcPr>
            <w:tcW w:w="1427" w:type="dxa"/>
            <w:tcBorders>
              <w:top w:val="nil"/>
              <w:left w:val="nil"/>
              <w:bottom w:val="single" w:sz="4" w:space="0" w:color="auto"/>
              <w:right w:val="single" w:sz="4" w:space="0" w:color="auto"/>
            </w:tcBorders>
            <w:shd w:val="clear" w:color="auto" w:fill="auto"/>
            <w:noWrap/>
            <w:vAlign w:val="bottom"/>
            <w:hideMark/>
          </w:tcPr>
          <w:p w14:paraId="0F30EA92" w14:textId="5C9AA4C5"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40</w:t>
            </w:r>
          </w:p>
        </w:tc>
        <w:tc>
          <w:tcPr>
            <w:tcW w:w="1053" w:type="dxa"/>
            <w:tcBorders>
              <w:top w:val="nil"/>
              <w:left w:val="nil"/>
              <w:bottom w:val="single" w:sz="4" w:space="0" w:color="auto"/>
              <w:right w:val="single" w:sz="4" w:space="0" w:color="auto"/>
            </w:tcBorders>
            <w:shd w:val="clear" w:color="auto" w:fill="auto"/>
            <w:noWrap/>
            <w:vAlign w:val="bottom"/>
            <w:hideMark/>
          </w:tcPr>
          <w:p w14:paraId="62A3ABB8" w14:textId="0AB0A288"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-0.116</w:t>
            </w:r>
          </w:p>
        </w:tc>
        <w:tc>
          <w:tcPr>
            <w:tcW w:w="1194" w:type="dxa"/>
            <w:tcBorders>
              <w:top w:val="nil"/>
              <w:left w:val="nil"/>
              <w:bottom w:val="single" w:sz="4" w:space="0" w:color="auto"/>
              <w:right w:val="single" w:sz="4" w:space="0" w:color="auto"/>
            </w:tcBorders>
            <w:shd w:val="clear" w:color="auto" w:fill="auto"/>
            <w:noWrap/>
            <w:vAlign w:val="bottom"/>
            <w:hideMark/>
          </w:tcPr>
          <w:p w14:paraId="3BFF9307" w14:textId="0C59C469"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0.053</w:t>
            </w:r>
          </w:p>
        </w:tc>
      </w:tr>
      <w:tr w:rsidR="009149C5" w:rsidRPr="00AC2BC7" w14:paraId="31452E2B"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AA22697"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r37</w:t>
            </w:r>
          </w:p>
        </w:tc>
        <w:tc>
          <w:tcPr>
            <w:tcW w:w="1427" w:type="dxa"/>
            <w:tcBorders>
              <w:top w:val="nil"/>
              <w:left w:val="nil"/>
              <w:bottom w:val="single" w:sz="4" w:space="0" w:color="auto"/>
              <w:right w:val="single" w:sz="4" w:space="0" w:color="auto"/>
            </w:tcBorders>
            <w:shd w:val="clear" w:color="auto" w:fill="auto"/>
            <w:noWrap/>
            <w:vAlign w:val="bottom"/>
            <w:hideMark/>
          </w:tcPr>
          <w:p w14:paraId="29AF3F41" w14:textId="013361C9"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41</w:t>
            </w:r>
          </w:p>
        </w:tc>
        <w:tc>
          <w:tcPr>
            <w:tcW w:w="1053" w:type="dxa"/>
            <w:tcBorders>
              <w:top w:val="nil"/>
              <w:left w:val="nil"/>
              <w:bottom w:val="single" w:sz="4" w:space="0" w:color="auto"/>
              <w:right w:val="single" w:sz="4" w:space="0" w:color="auto"/>
            </w:tcBorders>
            <w:shd w:val="clear" w:color="auto" w:fill="auto"/>
            <w:noWrap/>
            <w:vAlign w:val="bottom"/>
            <w:hideMark/>
          </w:tcPr>
          <w:p w14:paraId="431A76A2" w14:textId="09E341D6"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0.150</w:t>
            </w:r>
          </w:p>
        </w:tc>
        <w:tc>
          <w:tcPr>
            <w:tcW w:w="1194" w:type="dxa"/>
            <w:tcBorders>
              <w:top w:val="nil"/>
              <w:left w:val="nil"/>
              <w:bottom w:val="single" w:sz="4" w:space="0" w:color="auto"/>
              <w:right w:val="single" w:sz="4" w:space="0" w:color="auto"/>
            </w:tcBorders>
            <w:shd w:val="clear" w:color="auto" w:fill="auto"/>
            <w:noWrap/>
            <w:vAlign w:val="bottom"/>
            <w:hideMark/>
          </w:tcPr>
          <w:p w14:paraId="6945EC68" w14:textId="2C436A83"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0.052</w:t>
            </w:r>
          </w:p>
        </w:tc>
      </w:tr>
      <w:tr w:rsidR="009149C5" w:rsidRPr="00AC2BC7" w14:paraId="55107CF0"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608F5B2"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r38</w:t>
            </w:r>
          </w:p>
        </w:tc>
        <w:tc>
          <w:tcPr>
            <w:tcW w:w="1427" w:type="dxa"/>
            <w:tcBorders>
              <w:top w:val="nil"/>
              <w:left w:val="nil"/>
              <w:bottom w:val="single" w:sz="4" w:space="0" w:color="auto"/>
              <w:right w:val="single" w:sz="4" w:space="0" w:color="auto"/>
            </w:tcBorders>
            <w:shd w:val="clear" w:color="auto" w:fill="auto"/>
            <w:noWrap/>
            <w:vAlign w:val="bottom"/>
            <w:hideMark/>
          </w:tcPr>
          <w:p w14:paraId="60C691D7" w14:textId="10B4F082"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42</w:t>
            </w:r>
          </w:p>
        </w:tc>
        <w:tc>
          <w:tcPr>
            <w:tcW w:w="1053" w:type="dxa"/>
            <w:tcBorders>
              <w:top w:val="nil"/>
              <w:left w:val="nil"/>
              <w:bottom w:val="single" w:sz="4" w:space="0" w:color="auto"/>
              <w:right w:val="single" w:sz="4" w:space="0" w:color="auto"/>
            </w:tcBorders>
            <w:shd w:val="clear" w:color="auto" w:fill="auto"/>
            <w:noWrap/>
            <w:vAlign w:val="bottom"/>
            <w:hideMark/>
          </w:tcPr>
          <w:p w14:paraId="3CD5DFB0" w14:textId="0F8CCDB8"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0.400</w:t>
            </w:r>
          </w:p>
        </w:tc>
        <w:tc>
          <w:tcPr>
            <w:tcW w:w="1194" w:type="dxa"/>
            <w:tcBorders>
              <w:top w:val="nil"/>
              <w:left w:val="nil"/>
              <w:bottom w:val="single" w:sz="4" w:space="0" w:color="auto"/>
              <w:right w:val="single" w:sz="4" w:space="0" w:color="auto"/>
            </w:tcBorders>
            <w:shd w:val="clear" w:color="auto" w:fill="auto"/>
            <w:noWrap/>
            <w:vAlign w:val="bottom"/>
            <w:hideMark/>
          </w:tcPr>
          <w:p w14:paraId="73F34311" w14:textId="10FE67B4"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0.041</w:t>
            </w:r>
          </w:p>
        </w:tc>
      </w:tr>
      <w:tr w:rsidR="009149C5" w:rsidRPr="00AC2BC7" w14:paraId="4C4CE20D"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495F1C7"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r39</w:t>
            </w:r>
          </w:p>
        </w:tc>
        <w:tc>
          <w:tcPr>
            <w:tcW w:w="1427" w:type="dxa"/>
            <w:tcBorders>
              <w:top w:val="nil"/>
              <w:left w:val="nil"/>
              <w:bottom w:val="single" w:sz="4" w:space="0" w:color="auto"/>
              <w:right w:val="single" w:sz="4" w:space="0" w:color="auto"/>
            </w:tcBorders>
            <w:shd w:val="clear" w:color="auto" w:fill="auto"/>
            <w:noWrap/>
            <w:vAlign w:val="bottom"/>
            <w:hideMark/>
          </w:tcPr>
          <w:p w14:paraId="37696364" w14:textId="7F8F8543"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44</w:t>
            </w:r>
          </w:p>
        </w:tc>
        <w:tc>
          <w:tcPr>
            <w:tcW w:w="1053" w:type="dxa"/>
            <w:tcBorders>
              <w:top w:val="nil"/>
              <w:left w:val="nil"/>
              <w:bottom w:val="single" w:sz="4" w:space="0" w:color="auto"/>
              <w:right w:val="single" w:sz="4" w:space="0" w:color="auto"/>
            </w:tcBorders>
            <w:shd w:val="clear" w:color="auto" w:fill="auto"/>
            <w:noWrap/>
            <w:vAlign w:val="bottom"/>
            <w:hideMark/>
          </w:tcPr>
          <w:p w14:paraId="6116D628" w14:textId="65A34B73"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0.653</w:t>
            </w:r>
          </w:p>
        </w:tc>
        <w:tc>
          <w:tcPr>
            <w:tcW w:w="1194" w:type="dxa"/>
            <w:tcBorders>
              <w:top w:val="nil"/>
              <w:left w:val="nil"/>
              <w:bottom w:val="single" w:sz="4" w:space="0" w:color="auto"/>
              <w:right w:val="single" w:sz="4" w:space="0" w:color="auto"/>
            </w:tcBorders>
            <w:shd w:val="clear" w:color="auto" w:fill="auto"/>
            <w:noWrap/>
            <w:vAlign w:val="bottom"/>
            <w:hideMark/>
          </w:tcPr>
          <w:p w14:paraId="4422ACC6" w14:textId="413D0F99"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0.080</w:t>
            </w:r>
          </w:p>
        </w:tc>
      </w:tr>
      <w:tr w:rsidR="009149C5" w:rsidRPr="00AC2BC7" w14:paraId="472CC9C1"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C88E045"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r40</w:t>
            </w:r>
          </w:p>
        </w:tc>
        <w:tc>
          <w:tcPr>
            <w:tcW w:w="1427" w:type="dxa"/>
            <w:tcBorders>
              <w:top w:val="nil"/>
              <w:left w:val="nil"/>
              <w:bottom w:val="single" w:sz="4" w:space="0" w:color="auto"/>
              <w:right w:val="single" w:sz="4" w:space="0" w:color="auto"/>
            </w:tcBorders>
            <w:shd w:val="clear" w:color="auto" w:fill="auto"/>
            <w:noWrap/>
            <w:vAlign w:val="bottom"/>
            <w:hideMark/>
          </w:tcPr>
          <w:p w14:paraId="6A107ED8" w14:textId="35BE86A4"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45</w:t>
            </w:r>
          </w:p>
        </w:tc>
        <w:tc>
          <w:tcPr>
            <w:tcW w:w="1053" w:type="dxa"/>
            <w:tcBorders>
              <w:top w:val="nil"/>
              <w:left w:val="nil"/>
              <w:bottom w:val="single" w:sz="4" w:space="0" w:color="auto"/>
              <w:right w:val="single" w:sz="4" w:space="0" w:color="auto"/>
            </w:tcBorders>
            <w:shd w:val="clear" w:color="auto" w:fill="auto"/>
            <w:noWrap/>
            <w:vAlign w:val="bottom"/>
            <w:hideMark/>
          </w:tcPr>
          <w:p w14:paraId="15DF2520" w14:textId="7F58580A"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-0.085</w:t>
            </w:r>
          </w:p>
        </w:tc>
        <w:tc>
          <w:tcPr>
            <w:tcW w:w="1194" w:type="dxa"/>
            <w:tcBorders>
              <w:top w:val="nil"/>
              <w:left w:val="nil"/>
              <w:bottom w:val="single" w:sz="4" w:space="0" w:color="auto"/>
              <w:right w:val="single" w:sz="4" w:space="0" w:color="auto"/>
            </w:tcBorders>
            <w:shd w:val="clear" w:color="auto" w:fill="auto"/>
            <w:noWrap/>
            <w:vAlign w:val="bottom"/>
            <w:hideMark/>
          </w:tcPr>
          <w:p w14:paraId="2C9FEB62" w14:textId="716CB7D6"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0.051</w:t>
            </w:r>
          </w:p>
        </w:tc>
      </w:tr>
      <w:tr w:rsidR="009149C5" w:rsidRPr="00AC2BC7" w14:paraId="6F8E96CD"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C44BDEB"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r41</w:t>
            </w:r>
          </w:p>
        </w:tc>
        <w:tc>
          <w:tcPr>
            <w:tcW w:w="1427" w:type="dxa"/>
            <w:tcBorders>
              <w:top w:val="nil"/>
              <w:left w:val="nil"/>
              <w:bottom w:val="single" w:sz="4" w:space="0" w:color="auto"/>
              <w:right w:val="single" w:sz="4" w:space="0" w:color="auto"/>
            </w:tcBorders>
            <w:shd w:val="clear" w:color="auto" w:fill="auto"/>
            <w:noWrap/>
            <w:vAlign w:val="bottom"/>
            <w:hideMark/>
          </w:tcPr>
          <w:p w14:paraId="14369AD1" w14:textId="57E4F205"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46</w:t>
            </w:r>
          </w:p>
        </w:tc>
        <w:tc>
          <w:tcPr>
            <w:tcW w:w="1053" w:type="dxa"/>
            <w:tcBorders>
              <w:top w:val="nil"/>
              <w:left w:val="nil"/>
              <w:bottom w:val="single" w:sz="4" w:space="0" w:color="auto"/>
              <w:right w:val="single" w:sz="4" w:space="0" w:color="auto"/>
            </w:tcBorders>
            <w:shd w:val="clear" w:color="auto" w:fill="auto"/>
            <w:noWrap/>
            <w:vAlign w:val="bottom"/>
            <w:hideMark/>
          </w:tcPr>
          <w:p w14:paraId="0DDE117B" w14:textId="422945CB"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-0.121</w:t>
            </w:r>
          </w:p>
        </w:tc>
        <w:tc>
          <w:tcPr>
            <w:tcW w:w="1194" w:type="dxa"/>
            <w:tcBorders>
              <w:top w:val="nil"/>
              <w:left w:val="nil"/>
              <w:bottom w:val="single" w:sz="4" w:space="0" w:color="auto"/>
              <w:right w:val="single" w:sz="4" w:space="0" w:color="auto"/>
            </w:tcBorders>
            <w:shd w:val="clear" w:color="auto" w:fill="auto"/>
            <w:noWrap/>
            <w:vAlign w:val="bottom"/>
            <w:hideMark/>
          </w:tcPr>
          <w:p w14:paraId="1B514F16" w14:textId="4C857DC0"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0.103</w:t>
            </w:r>
          </w:p>
        </w:tc>
      </w:tr>
      <w:tr w:rsidR="009149C5" w:rsidRPr="00AC2BC7" w14:paraId="7A7DBF33"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C3C170E"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r42</w:t>
            </w:r>
          </w:p>
        </w:tc>
        <w:tc>
          <w:tcPr>
            <w:tcW w:w="1427" w:type="dxa"/>
            <w:tcBorders>
              <w:top w:val="nil"/>
              <w:left w:val="nil"/>
              <w:bottom w:val="single" w:sz="4" w:space="0" w:color="auto"/>
              <w:right w:val="single" w:sz="4" w:space="0" w:color="auto"/>
            </w:tcBorders>
            <w:shd w:val="clear" w:color="auto" w:fill="auto"/>
            <w:noWrap/>
            <w:vAlign w:val="bottom"/>
            <w:hideMark/>
          </w:tcPr>
          <w:p w14:paraId="384D532C" w14:textId="2CA81AD6"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w:t>
            </w:r>
            <w:r w:rsidR="00272134">
              <w:rPr>
                <w:rFonts w:ascii="Times New Roman" w:eastAsia="Times New Roman" w:hAnsi="Times New Roman" w:cs="Times New Roman"/>
                <w:color w:val="000000"/>
              </w:rPr>
              <w:t>i</w:t>
            </w:r>
            <w:r w:rsidRPr="00AC2BC7">
              <w:rPr>
                <w:rFonts w:ascii="Times New Roman" w:eastAsia="Times New Roman" w:hAnsi="Times New Roman" w:cs="Times New Roman"/>
                <w:color w:val="000000"/>
              </w:rPr>
              <w:t>ps</w:t>
            </w:r>
            <w:proofErr w:type="spellEnd"/>
            <w:r w:rsidRPr="00AC2BC7">
              <w:rPr>
                <w:rFonts w:ascii="Times New Roman" w:eastAsia="Times New Roman" w:hAnsi="Times New Roman" w:cs="Times New Roman"/>
                <w:color w:val="000000"/>
              </w:rPr>
              <w:t xml:space="preserve"> 47</w:t>
            </w:r>
          </w:p>
        </w:tc>
        <w:tc>
          <w:tcPr>
            <w:tcW w:w="1053" w:type="dxa"/>
            <w:tcBorders>
              <w:top w:val="nil"/>
              <w:left w:val="nil"/>
              <w:bottom w:val="single" w:sz="4" w:space="0" w:color="auto"/>
              <w:right w:val="single" w:sz="4" w:space="0" w:color="auto"/>
            </w:tcBorders>
            <w:shd w:val="clear" w:color="auto" w:fill="auto"/>
            <w:noWrap/>
            <w:vAlign w:val="bottom"/>
            <w:hideMark/>
          </w:tcPr>
          <w:p w14:paraId="097C85B8" w14:textId="2AEA5CE4"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0.151</w:t>
            </w:r>
          </w:p>
        </w:tc>
        <w:tc>
          <w:tcPr>
            <w:tcW w:w="1194" w:type="dxa"/>
            <w:tcBorders>
              <w:top w:val="nil"/>
              <w:left w:val="nil"/>
              <w:bottom w:val="single" w:sz="4" w:space="0" w:color="auto"/>
              <w:right w:val="single" w:sz="4" w:space="0" w:color="auto"/>
            </w:tcBorders>
            <w:shd w:val="clear" w:color="auto" w:fill="auto"/>
            <w:noWrap/>
            <w:vAlign w:val="bottom"/>
            <w:hideMark/>
          </w:tcPr>
          <w:p w14:paraId="0922A94E" w14:textId="51036A54"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0.048</w:t>
            </w:r>
          </w:p>
        </w:tc>
      </w:tr>
      <w:tr w:rsidR="009149C5" w:rsidRPr="00AC2BC7" w14:paraId="1946CACB"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51CFD77"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r43</w:t>
            </w:r>
          </w:p>
        </w:tc>
        <w:tc>
          <w:tcPr>
            <w:tcW w:w="1427" w:type="dxa"/>
            <w:tcBorders>
              <w:top w:val="nil"/>
              <w:left w:val="nil"/>
              <w:bottom w:val="single" w:sz="4" w:space="0" w:color="auto"/>
              <w:right w:val="single" w:sz="4" w:space="0" w:color="auto"/>
            </w:tcBorders>
            <w:shd w:val="clear" w:color="auto" w:fill="auto"/>
            <w:noWrap/>
            <w:vAlign w:val="bottom"/>
            <w:hideMark/>
          </w:tcPr>
          <w:p w14:paraId="0434947A" w14:textId="2A8A1D59"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48</w:t>
            </w:r>
          </w:p>
        </w:tc>
        <w:tc>
          <w:tcPr>
            <w:tcW w:w="1053" w:type="dxa"/>
            <w:tcBorders>
              <w:top w:val="nil"/>
              <w:left w:val="nil"/>
              <w:bottom w:val="single" w:sz="4" w:space="0" w:color="auto"/>
              <w:right w:val="single" w:sz="4" w:space="0" w:color="auto"/>
            </w:tcBorders>
            <w:shd w:val="clear" w:color="auto" w:fill="auto"/>
            <w:noWrap/>
            <w:vAlign w:val="bottom"/>
            <w:hideMark/>
          </w:tcPr>
          <w:p w14:paraId="7030C26A" w14:textId="63D09790"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0.455</w:t>
            </w:r>
          </w:p>
        </w:tc>
        <w:tc>
          <w:tcPr>
            <w:tcW w:w="1194" w:type="dxa"/>
            <w:tcBorders>
              <w:top w:val="nil"/>
              <w:left w:val="nil"/>
              <w:bottom w:val="single" w:sz="4" w:space="0" w:color="auto"/>
              <w:right w:val="single" w:sz="4" w:space="0" w:color="auto"/>
            </w:tcBorders>
            <w:shd w:val="clear" w:color="auto" w:fill="auto"/>
            <w:noWrap/>
            <w:vAlign w:val="bottom"/>
            <w:hideMark/>
          </w:tcPr>
          <w:p w14:paraId="199F6242" w14:textId="1AFC0567"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0.039</w:t>
            </w:r>
          </w:p>
        </w:tc>
      </w:tr>
      <w:tr w:rsidR="009149C5" w:rsidRPr="00AC2BC7" w14:paraId="31AC508E"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4BDE9FF1"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r44</w:t>
            </w:r>
          </w:p>
        </w:tc>
        <w:tc>
          <w:tcPr>
            <w:tcW w:w="1427" w:type="dxa"/>
            <w:tcBorders>
              <w:top w:val="nil"/>
              <w:left w:val="nil"/>
              <w:bottom w:val="single" w:sz="4" w:space="0" w:color="auto"/>
              <w:right w:val="single" w:sz="4" w:space="0" w:color="auto"/>
            </w:tcBorders>
            <w:shd w:val="clear" w:color="auto" w:fill="auto"/>
            <w:noWrap/>
            <w:vAlign w:val="bottom"/>
            <w:hideMark/>
          </w:tcPr>
          <w:p w14:paraId="36AAC45B" w14:textId="56FE0540"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49</w:t>
            </w:r>
          </w:p>
        </w:tc>
        <w:tc>
          <w:tcPr>
            <w:tcW w:w="1053" w:type="dxa"/>
            <w:tcBorders>
              <w:top w:val="nil"/>
              <w:left w:val="nil"/>
              <w:bottom w:val="single" w:sz="4" w:space="0" w:color="auto"/>
              <w:right w:val="single" w:sz="4" w:space="0" w:color="auto"/>
            </w:tcBorders>
            <w:shd w:val="clear" w:color="auto" w:fill="auto"/>
            <w:noWrap/>
            <w:vAlign w:val="bottom"/>
            <w:hideMark/>
          </w:tcPr>
          <w:p w14:paraId="503BAECD" w14:textId="5CDA6647"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0.815</w:t>
            </w:r>
          </w:p>
        </w:tc>
        <w:tc>
          <w:tcPr>
            <w:tcW w:w="1194" w:type="dxa"/>
            <w:tcBorders>
              <w:top w:val="nil"/>
              <w:left w:val="nil"/>
              <w:bottom w:val="single" w:sz="4" w:space="0" w:color="auto"/>
              <w:right w:val="single" w:sz="4" w:space="0" w:color="auto"/>
            </w:tcBorders>
            <w:shd w:val="clear" w:color="auto" w:fill="auto"/>
            <w:noWrap/>
            <w:vAlign w:val="bottom"/>
            <w:hideMark/>
          </w:tcPr>
          <w:p w14:paraId="1CADBCDA" w14:textId="325085FE"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0.051</w:t>
            </w:r>
          </w:p>
        </w:tc>
      </w:tr>
      <w:tr w:rsidR="009149C5" w:rsidRPr="00AC2BC7" w14:paraId="32978726"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3A9B2A62"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r45</w:t>
            </w:r>
          </w:p>
        </w:tc>
        <w:tc>
          <w:tcPr>
            <w:tcW w:w="1427" w:type="dxa"/>
            <w:tcBorders>
              <w:top w:val="nil"/>
              <w:left w:val="nil"/>
              <w:bottom w:val="single" w:sz="4" w:space="0" w:color="auto"/>
              <w:right w:val="single" w:sz="4" w:space="0" w:color="auto"/>
            </w:tcBorders>
            <w:shd w:val="clear" w:color="auto" w:fill="auto"/>
            <w:noWrap/>
            <w:vAlign w:val="bottom"/>
            <w:hideMark/>
          </w:tcPr>
          <w:p w14:paraId="6DB5C06C" w14:textId="5BCF3F1E"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50</w:t>
            </w:r>
          </w:p>
        </w:tc>
        <w:tc>
          <w:tcPr>
            <w:tcW w:w="1053" w:type="dxa"/>
            <w:tcBorders>
              <w:top w:val="nil"/>
              <w:left w:val="nil"/>
              <w:bottom w:val="single" w:sz="4" w:space="0" w:color="auto"/>
              <w:right w:val="single" w:sz="4" w:space="0" w:color="auto"/>
            </w:tcBorders>
            <w:shd w:val="clear" w:color="auto" w:fill="auto"/>
            <w:noWrap/>
            <w:vAlign w:val="bottom"/>
            <w:hideMark/>
          </w:tcPr>
          <w:p w14:paraId="70A3F2BB" w14:textId="0BAC4B27"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-0.098</w:t>
            </w:r>
          </w:p>
        </w:tc>
        <w:tc>
          <w:tcPr>
            <w:tcW w:w="1194" w:type="dxa"/>
            <w:tcBorders>
              <w:top w:val="nil"/>
              <w:left w:val="nil"/>
              <w:bottom w:val="single" w:sz="4" w:space="0" w:color="auto"/>
              <w:right w:val="single" w:sz="4" w:space="0" w:color="auto"/>
            </w:tcBorders>
            <w:shd w:val="clear" w:color="auto" w:fill="auto"/>
            <w:noWrap/>
            <w:vAlign w:val="bottom"/>
            <w:hideMark/>
          </w:tcPr>
          <w:p w14:paraId="5CA3E7BE" w14:textId="0383351E"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0.144</w:t>
            </w:r>
          </w:p>
        </w:tc>
      </w:tr>
      <w:tr w:rsidR="009149C5" w:rsidRPr="00AC2BC7" w14:paraId="1D5B3C78"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A288B40"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r46</w:t>
            </w:r>
          </w:p>
        </w:tc>
        <w:tc>
          <w:tcPr>
            <w:tcW w:w="1427" w:type="dxa"/>
            <w:tcBorders>
              <w:top w:val="nil"/>
              <w:left w:val="nil"/>
              <w:bottom w:val="single" w:sz="4" w:space="0" w:color="auto"/>
              <w:right w:val="single" w:sz="4" w:space="0" w:color="auto"/>
            </w:tcBorders>
            <w:shd w:val="clear" w:color="auto" w:fill="auto"/>
            <w:noWrap/>
            <w:vAlign w:val="bottom"/>
            <w:hideMark/>
          </w:tcPr>
          <w:p w14:paraId="00731D46" w14:textId="1D905E83"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51</w:t>
            </w:r>
          </w:p>
        </w:tc>
        <w:tc>
          <w:tcPr>
            <w:tcW w:w="1053" w:type="dxa"/>
            <w:tcBorders>
              <w:top w:val="nil"/>
              <w:left w:val="nil"/>
              <w:bottom w:val="single" w:sz="4" w:space="0" w:color="auto"/>
              <w:right w:val="single" w:sz="4" w:space="0" w:color="auto"/>
            </w:tcBorders>
            <w:shd w:val="clear" w:color="auto" w:fill="auto"/>
            <w:noWrap/>
            <w:vAlign w:val="bottom"/>
            <w:hideMark/>
          </w:tcPr>
          <w:p w14:paraId="5B36C631" w14:textId="0BD29330"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0.163</w:t>
            </w:r>
          </w:p>
        </w:tc>
        <w:tc>
          <w:tcPr>
            <w:tcW w:w="1194" w:type="dxa"/>
            <w:tcBorders>
              <w:top w:val="nil"/>
              <w:left w:val="nil"/>
              <w:bottom w:val="single" w:sz="4" w:space="0" w:color="auto"/>
              <w:right w:val="single" w:sz="4" w:space="0" w:color="auto"/>
            </w:tcBorders>
            <w:shd w:val="clear" w:color="auto" w:fill="auto"/>
            <w:noWrap/>
            <w:vAlign w:val="bottom"/>
            <w:hideMark/>
          </w:tcPr>
          <w:p w14:paraId="5F5E35BE" w14:textId="53238A66"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0.045</w:t>
            </w:r>
          </w:p>
        </w:tc>
      </w:tr>
      <w:tr w:rsidR="009149C5" w:rsidRPr="00AC2BC7" w14:paraId="41137D1E"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502B80B0"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r47</w:t>
            </w:r>
          </w:p>
        </w:tc>
        <w:tc>
          <w:tcPr>
            <w:tcW w:w="1427" w:type="dxa"/>
            <w:tcBorders>
              <w:top w:val="nil"/>
              <w:left w:val="nil"/>
              <w:bottom w:val="single" w:sz="4" w:space="0" w:color="auto"/>
              <w:right w:val="single" w:sz="4" w:space="0" w:color="auto"/>
            </w:tcBorders>
            <w:shd w:val="clear" w:color="auto" w:fill="auto"/>
            <w:noWrap/>
            <w:vAlign w:val="bottom"/>
            <w:hideMark/>
          </w:tcPr>
          <w:p w14:paraId="2FF4C983" w14:textId="34287EF0"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53</w:t>
            </w:r>
          </w:p>
        </w:tc>
        <w:tc>
          <w:tcPr>
            <w:tcW w:w="1053" w:type="dxa"/>
            <w:tcBorders>
              <w:top w:val="nil"/>
              <w:left w:val="nil"/>
              <w:bottom w:val="single" w:sz="4" w:space="0" w:color="auto"/>
              <w:right w:val="single" w:sz="4" w:space="0" w:color="auto"/>
            </w:tcBorders>
            <w:shd w:val="clear" w:color="auto" w:fill="auto"/>
            <w:noWrap/>
            <w:vAlign w:val="bottom"/>
            <w:hideMark/>
          </w:tcPr>
          <w:p w14:paraId="5CE37DCE" w14:textId="11D61FCD"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0.564</w:t>
            </w:r>
          </w:p>
        </w:tc>
        <w:tc>
          <w:tcPr>
            <w:tcW w:w="1194" w:type="dxa"/>
            <w:tcBorders>
              <w:top w:val="nil"/>
              <w:left w:val="nil"/>
              <w:bottom w:val="single" w:sz="4" w:space="0" w:color="auto"/>
              <w:right w:val="single" w:sz="4" w:space="0" w:color="auto"/>
            </w:tcBorders>
            <w:shd w:val="clear" w:color="auto" w:fill="auto"/>
            <w:noWrap/>
            <w:vAlign w:val="bottom"/>
            <w:hideMark/>
          </w:tcPr>
          <w:p w14:paraId="1E5E3229" w14:textId="22B233C3"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0.046</w:t>
            </w:r>
          </w:p>
        </w:tc>
      </w:tr>
      <w:tr w:rsidR="009149C5" w:rsidRPr="00AC2BC7" w14:paraId="07D1C08B"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3B3AD95"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r48</w:t>
            </w:r>
          </w:p>
        </w:tc>
        <w:tc>
          <w:tcPr>
            <w:tcW w:w="1427" w:type="dxa"/>
            <w:tcBorders>
              <w:top w:val="nil"/>
              <w:left w:val="nil"/>
              <w:bottom w:val="single" w:sz="4" w:space="0" w:color="auto"/>
              <w:right w:val="single" w:sz="4" w:space="0" w:color="auto"/>
            </w:tcBorders>
            <w:shd w:val="clear" w:color="auto" w:fill="auto"/>
            <w:noWrap/>
            <w:vAlign w:val="bottom"/>
            <w:hideMark/>
          </w:tcPr>
          <w:p w14:paraId="3F17041F" w14:textId="681B694B"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54</w:t>
            </w:r>
          </w:p>
        </w:tc>
        <w:tc>
          <w:tcPr>
            <w:tcW w:w="1053" w:type="dxa"/>
            <w:tcBorders>
              <w:top w:val="nil"/>
              <w:left w:val="nil"/>
              <w:bottom w:val="single" w:sz="4" w:space="0" w:color="auto"/>
              <w:right w:val="single" w:sz="4" w:space="0" w:color="auto"/>
            </w:tcBorders>
            <w:shd w:val="clear" w:color="auto" w:fill="auto"/>
            <w:noWrap/>
            <w:vAlign w:val="bottom"/>
            <w:hideMark/>
          </w:tcPr>
          <w:p w14:paraId="7105EEAD" w14:textId="5680B747"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-0.651</w:t>
            </w:r>
          </w:p>
        </w:tc>
        <w:tc>
          <w:tcPr>
            <w:tcW w:w="1194" w:type="dxa"/>
            <w:tcBorders>
              <w:top w:val="nil"/>
              <w:left w:val="nil"/>
              <w:bottom w:val="single" w:sz="4" w:space="0" w:color="auto"/>
              <w:right w:val="single" w:sz="4" w:space="0" w:color="auto"/>
            </w:tcBorders>
            <w:shd w:val="clear" w:color="auto" w:fill="auto"/>
            <w:noWrap/>
            <w:vAlign w:val="bottom"/>
            <w:hideMark/>
          </w:tcPr>
          <w:p w14:paraId="0BA265C0" w14:textId="6D460F6A"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0.070</w:t>
            </w:r>
          </w:p>
        </w:tc>
      </w:tr>
      <w:tr w:rsidR="009149C5" w:rsidRPr="00AC2BC7" w14:paraId="58F091FC"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14D447D3"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r49</w:t>
            </w:r>
          </w:p>
        </w:tc>
        <w:tc>
          <w:tcPr>
            <w:tcW w:w="1427" w:type="dxa"/>
            <w:tcBorders>
              <w:top w:val="nil"/>
              <w:left w:val="nil"/>
              <w:bottom w:val="single" w:sz="4" w:space="0" w:color="auto"/>
              <w:right w:val="single" w:sz="4" w:space="0" w:color="auto"/>
            </w:tcBorders>
            <w:shd w:val="clear" w:color="auto" w:fill="auto"/>
            <w:noWrap/>
            <w:vAlign w:val="bottom"/>
            <w:hideMark/>
          </w:tcPr>
          <w:p w14:paraId="2ED42D64" w14:textId="5980EFED"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55</w:t>
            </w:r>
          </w:p>
        </w:tc>
        <w:tc>
          <w:tcPr>
            <w:tcW w:w="1053" w:type="dxa"/>
            <w:tcBorders>
              <w:top w:val="nil"/>
              <w:left w:val="nil"/>
              <w:bottom w:val="single" w:sz="4" w:space="0" w:color="auto"/>
              <w:right w:val="single" w:sz="4" w:space="0" w:color="auto"/>
            </w:tcBorders>
            <w:shd w:val="clear" w:color="auto" w:fill="auto"/>
            <w:noWrap/>
            <w:vAlign w:val="bottom"/>
            <w:hideMark/>
          </w:tcPr>
          <w:p w14:paraId="1CDE1099" w14:textId="27456CEC"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0.997</w:t>
            </w:r>
          </w:p>
        </w:tc>
        <w:tc>
          <w:tcPr>
            <w:tcW w:w="1194" w:type="dxa"/>
            <w:tcBorders>
              <w:top w:val="nil"/>
              <w:left w:val="nil"/>
              <w:bottom w:val="single" w:sz="4" w:space="0" w:color="auto"/>
              <w:right w:val="single" w:sz="4" w:space="0" w:color="auto"/>
            </w:tcBorders>
            <w:shd w:val="clear" w:color="auto" w:fill="auto"/>
            <w:noWrap/>
            <w:vAlign w:val="bottom"/>
            <w:hideMark/>
          </w:tcPr>
          <w:p w14:paraId="0E2F8B10" w14:textId="4C4B5461"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0.047</w:t>
            </w:r>
          </w:p>
        </w:tc>
      </w:tr>
      <w:tr w:rsidR="009149C5" w:rsidRPr="00AC2BC7" w14:paraId="5D005839"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201D546E"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r50</w:t>
            </w:r>
          </w:p>
        </w:tc>
        <w:tc>
          <w:tcPr>
            <w:tcW w:w="1427" w:type="dxa"/>
            <w:tcBorders>
              <w:top w:val="nil"/>
              <w:left w:val="nil"/>
              <w:bottom w:val="single" w:sz="4" w:space="0" w:color="auto"/>
              <w:right w:val="single" w:sz="4" w:space="0" w:color="auto"/>
            </w:tcBorders>
            <w:shd w:val="clear" w:color="auto" w:fill="auto"/>
            <w:noWrap/>
            <w:vAlign w:val="bottom"/>
            <w:hideMark/>
          </w:tcPr>
          <w:p w14:paraId="203CB84F" w14:textId="74C5D040"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56</w:t>
            </w:r>
          </w:p>
        </w:tc>
        <w:tc>
          <w:tcPr>
            <w:tcW w:w="1053" w:type="dxa"/>
            <w:tcBorders>
              <w:top w:val="nil"/>
              <w:left w:val="nil"/>
              <w:bottom w:val="single" w:sz="4" w:space="0" w:color="auto"/>
              <w:right w:val="single" w:sz="4" w:space="0" w:color="auto"/>
            </w:tcBorders>
            <w:shd w:val="clear" w:color="auto" w:fill="auto"/>
            <w:noWrap/>
            <w:vAlign w:val="bottom"/>
            <w:hideMark/>
          </w:tcPr>
          <w:p w14:paraId="547778F4" w14:textId="7D89EB48"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0.587</w:t>
            </w:r>
          </w:p>
        </w:tc>
        <w:tc>
          <w:tcPr>
            <w:tcW w:w="1194" w:type="dxa"/>
            <w:tcBorders>
              <w:top w:val="nil"/>
              <w:left w:val="nil"/>
              <w:bottom w:val="single" w:sz="4" w:space="0" w:color="auto"/>
              <w:right w:val="single" w:sz="4" w:space="0" w:color="auto"/>
            </w:tcBorders>
            <w:shd w:val="clear" w:color="auto" w:fill="auto"/>
            <w:noWrap/>
            <w:vAlign w:val="bottom"/>
            <w:hideMark/>
          </w:tcPr>
          <w:p w14:paraId="066802B5" w14:textId="32F3C6A3"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0.127</w:t>
            </w:r>
          </w:p>
        </w:tc>
      </w:tr>
      <w:tr w:rsidR="009149C5" w:rsidRPr="00AC2BC7" w14:paraId="590B6DD0" w14:textId="77777777" w:rsidTr="009B1A20">
        <w:trPr>
          <w:trHeight w:val="300"/>
          <w:jc w:val="center"/>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14:paraId="71455D98" w14:textId="77777777"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r51</w:t>
            </w:r>
          </w:p>
        </w:tc>
        <w:tc>
          <w:tcPr>
            <w:tcW w:w="1427" w:type="dxa"/>
            <w:tcBorders>
              <w:top w:val="nil"/>
              <w:left w:val="nil"/>
              <w:bottom w:val="single" w:sz="4" w:space="0" w:color="auto"/>
              <w:right w:val="single" w:sz="4" w:space="0" w:color="auto"/>
            </w:tcBorders>
            <w:shd w:val="clear" w:color="auto" w:fill="auto"/>
            <w:noWrap/>
            <w:vAlign w:val="bottom"/>
            <w:hideMark/>
          </w:tcPr>
          <w:p w14:paraId="0D2476B9" w14:textId="32591008" w:rsidR="009149C5" w:rsidRPr="00AC2BC7" w:rsidRDefault="009149C5" w:rsidP="004450B2">
            <w:pPr>
              <w:spacing w:after="0" w:line="240" w:lineRule="auto"/>
              <w:rPr>
                <w:rFonts w:ascii="Times New Roman" w:eastAsia="Times New Roman" w:hAnsi="Times New Roman" w:cs="Times New Roman"/>
                <w:color w:val="000000"/>
              </w:rPr>
            </w:pPr>
            <w:r w:rsidRPr="00AC2BC7">
              <w:rPr>
                <w:rFonts w:ascii="Times New Roman" w:eastAsia="Times New Roman" w:hAnsi="Times New Roman" w:cs="Times New Roman"/>
                <w:color w:val="000000"/>
              </w:rPr>
              <w:t xml:space="preserve">State </w:t>
            </w:r>
            <w:proofErr w:type="spellStart"/>
            <w:r w:rsidRPr="00AC2BC7">
              <w:rPr>
                <w:rFonts w:ascii="Times New Roman" w:eastAsia="Times New Roman" w:hAnsi="Times New Roman" w:cs="Times New Roman"/>
                <w:color w:val="000000"/>
              </w:rPr>
              <w:t>Fips</w:t>
            </w:r>
            <w:proofErr w:type="spellEnd"/>
            <w:r w:rsidRPr="00AC2BC7">
              <w:rPr>
                <w:rFonts w:ascii="Times New Roman" w:eastAsia="Times New Roman" w:hAnsi="Times New Roman" w:cs="Times New Roman"/>
                <w:color w:val="000000"/>
              </w:rPr>
              <w:t xml:space="preserve"> 72</w:t>
            </w:r>
          </w:p>
        </w:tc>
        <w:tc>
          <w:tcPr>
            <w:tcW w:w="1053" w:type="dxa"/>
            <w:tcBorders>
              <w:top w:val="nil"/>
              <w:left w:val="nil"/>
              <w:bottom w:val="single" w:sz="4" w:space="0" w:color="auto"/>
              <w:right w:val="single" w:sz="4" w:space="0" w:color="auto"/>
            </w:tcBorders>
            <w:shd w:val="clear" w:color="auto" w:fill="auto"/>
            <w:noWrap/>
            <w:vAlign w:val="bottom"/>
            <w:hideMark/>
          </w:tcPr>
          <w:p w14:paraId="4AEB5D44" w14:textId="1C95953A"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1.104</w:t>
            </w:r>
          </w:p>
        </w:tc>
        <w:tc>
          <w:tcPr>
            <w:tcW w:w="1194" w:type="dxa"/>
            <w:tcBorders>
              <w:top w:val="nil"/>
              <w:left w:val="nil"/>
              <w:bottom w:val="single" w:sz="4" w:space="0" w:color="auto"/>
              <w:right w:val="single" w:sz="4" w:space="0" w:color="auto"/>
            </w:tcBorders>
            <w:shd w:val="clear" w:color="auto" w:fill="auto"/>
            <w:noWrap/>
            <w:vAlign w:val="bottom"/>
            <w:hideMark/>
          </w:tcPr>
          <w:p w14:paraId="4265CD2C" w14:textId="2B5FEFF4" w:rsidR="009149C5" w:rsidRPr="004450B2" w:rsidRDefault="009149C5" w:rsidP="004450B2">
            <w:pPr>
              <w:spacing w:after="0" w:line="240" w:lineRule="auto"/>
              <w:jc w:val="right"/>
              <w:rPr>
                <w:rFonts w:ascii="Times New Roman" w:eastAsia="Times New Roman" w:hAnsi="Times New Roman" w:cs="Times New Roman"/>
                <w:color w:val="000000"/>
              </w:rPr>
            </w:pPr>
            <w:r w:rsidRPr="004450B2">
              <w:rPr>
                <w:rFonts w:ascii="Times New Roman" w:hAnsi="Times New Roman" w:cs="Times New Roman"/>
                <w:color w:val="000000"/>
              </w:rPr>
              <w:t>0.053</w:t>
            </w:r>
          </w:p>
        </w:tc>
      </w:tr>
    </w:tbl>
    <w:p w14:paraId="67007DD1" w14:textId="4DBC7912" w:rsidR="0021677C" w:rsidRPr="00AC2BC7" w:rsidRDefault="0021677C" w:rsidP="00CC4C6F">
      <w:pPr>
        <w:jc w:val="center"/>
        <w:rPr>
          <w:rFonts w:ascii="Times New Roman" w:hAnsi="Times New Roman" w:cs="Times New Roman"/>
        </w:rPr>
      </w:pPr>
    </w:p>
    <w:sectPr w:rsidR="0021677C" w:rsidRPr="00AC2BC7" w:rsidSect="001B39E8">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FEB5D" w14:textId="77777777" w:rsidR="00A21A64" w:rsidRDefault="00A21A64" w:rsidP="00863060">
      <w:pPr>
        <w:spacing w:after="0" w:line="240" w:lineRule="auto"/>
      </w:pPr>
      <w:r>
        <w:separator/>
      </w:r>
    </w:p>
  </w:endnote>
  <w:endnote w:type="continuationSeparator" w:id="0">
    <w:p w14:paraId="4B28A2A7" w14:textId="77777777" w:rsidR="00A21A64" w:rsidRDefault="00A21A64" w:rsidP="0086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5B24" w14:textId="4D2CEB73" w:rsidR="0007699A" w:rsidRPr="00121172" w:rsidRDefault="0007699A">
    <w:pPr>
      <w:pStyle w:val="Footer"/>
      <w:rPr>
        <w:rFonts w:ascii="Times New Roman" w:hAnsi="Times New Roman" w:cs="Times New Roman"/>
      </w:rPr>
    </w:pPr>
    <w:r>
      <w:tab/>
    </w:r>
    <w:r w:rsidRPr="00121172">
      <w:rPr>
        <w:rFonts w:ascii="Times New Roman" w:hAnsi="Times New Roman" w:cs="Times New Roman"/>
      </w:rPr>
      <w:fldChar w:fldCharType="begin"/>
    </w:r>
    <w:r w:rsidRPr="00121172">
      <w:rPr>
        <w:rFonts w:ascii="Times New Roman" w:hAnsi="Times New Roman" w:cs="Times New Roman"/>
      </w:rPr>
      <w:instrText xml:space="preserve"> PAGE   \* MERGEFORMAT </w:instrText>
    </w:r>
    <w:r w:rsidRPr="00121172">
      <w:rPr>
        <w:rFonts w:ascii="Times New Roman" w:hAnsi="Times New Roman" w:cs="Times New Roman"/>
      </w:rPr>
      <w:fldChar w:fldCharType="separate"/>
    </w:r>
    <w:r w:rsidR="00594970">
      <w:rPr>
        <w:rFonts w:ascii="Times New Roman" w:hAnsi="Times New Roman" w:cs="Times New Roman"/>
        <w:noProof/>
      </w:rPr>
      <w:t>4</w:t>
    </w:r>
    <w:r w:rsidRPr="00121172">
      <w:rPr>
        <w:rFonts w:ascii="Times New Roman" w:hAnsi="Times New Roman" w:cs="Times New Roman"/>
        <w:noProof/>
      </w:rPr>
      <w:fldChar w:fldCharType="end"/>
    </w:r>
  </w:p>
  <w:p w14:paraId="3943A6E3" w14:textId="409858C1" w:rsidR="0007699A" w:rsidRDefault="0007699A" w:rsidP="00260653">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42432" w14:textId="66E6D578" w:rsidR="0007699A" w:rsidRDefault="0007699A" w:rsidP="00F35019">
    <w:pPr>
      <w:pStyle w:val="Footer"/>
    </w:pPr>
    <w:r>
      <w:tab/>
    </w:r>
  </w:p>
  <w:p w14:paraId="530D4DA8" w14:textId="77777777" w:rsidR="0007699A" w:rsidRDefault="00076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3622D" w14:textId="77777777" w:rsidR="00A21A64" w:rsidRDefault="00A21A64" w:rsidP="00863060">
      <w:pPr>
        <w:spacing w:after="0" w:line="240" w:lineRule="auto"/>
      </w:pPr>
      <w:r>
        <w:separator/>
      </w:r>
    </w:p>
  </w:footnote>
  <w:footnote w:type="continuationSeparator" w:id="0">
    <w:p w14:paraId="2D19872E" w14:textId="77777777" w:rsidR="00A21A64" w:rsidRDefault="00A21A64" w:rsidP="00863060">
      <w:pPr>
        <w:spacing w:after="0" w:line="240" w:lineRule="auto"/>
      </w:pPr>
      <w:r>
        <w:continuationSeparator/>
      </w:r>
    </w:p>
  </w:footnote>
  <w:footnote w:id="1">
    <w:p w14:paraId="4AE93D80" w14:textId="6EFEC2B1" w:rsidR="0007699A" w:rsidRPr="0007699A" w:rsidRDefault="0007699A" w:rsidP="00121172">
      <w:pPr>
        <w:pStyle w:val="FootnoteText"/>
        <w:spacing w:after="120"/>
        <w:rPr>
          <w:rFonts w:ascii="Times New Roman" w:hAnsi="Times New Roman" w:cs="Times New Roman"/>
        </w:rPr>
      </w:pPr>
      <w:r w:rsidRPr="0007699A">
        <w:rPr>
          <w:rStyle w:val="FootnoteReference"/>
          <w:rFonts w:ascii="Times New Roman" w:hAnsi="Times New Roman" w:cs="Times New Roman"/>
        </w:rPr>
        <w:footnoteRef/>
      </w:r>
      <w:r w:rsidRPr="0007699A">
        <w:rPr>
          <w:rFonts w:ascii="Times New Roman" w:hAnsi="Times New Roman" w:cs="Times New Roman"/>
        </w:rPr>
        <w:t xml:space="preserve"> </w:t>
      </w:r>
      <w:r w:rsidRPr="0007699A">
        <w:rPr>
          <w:rFonts w:ascii="Times New Roman" w:hAnsi="Times New Roman" w:cs="Times New Roman"/>
          <w:i/>
          <w:shd w:val="clear" w:color="auto" w:fill="FFFFFF"/>
        </w:rPr>
        <w:t>Connect America Fund</w:t>
      </w:r>
      <w:r w:rsidRPr="0007699A">
        <w:rPr>
          <w:rFonts w:ascii="Times New Roman" w:hAnsi="Times New Roman" w:cs="Times New Roman"/>
          <w:shd w:val="clear" w:color="auto" w:fill="FFFFFF"/>
        </w:rPr>
        <w:t xml:space="preserve">, WC Docket No. 10-90, Order, </w:t>
      </w:r>
      <w:r w:rsidRPr="0007699A">
        <w:rPr>
          <w:rFonts w:ascii="Times New Roman" w:hAnsi="Times New Roman" w:cs="Times New Roman"/>
          <w:iCs/>
          <w:shd w:val="clear" w:color="auto" w:fill="FFFFFF"/>
        </w:rPr>
        <w:t xml:space="preserve">28 FCC </w:t>
      </w:r>
      <w:proofErr w:type="spellStart"/>
      <w:r w:rsidRPr="0007699A">
        <w:rPr>
          <w:rFonts w:ascii="Times New Roman" w:hAnsi="Times New Roman" w:cs="Times New Roman"/>
          <w:iCs/>
          <w:shd w:val="clear" w:color="auto" w:fill="FFFFFF"/>
        </w:rPr>
        <w:t>Rcd</w:t>
      </w:r>
      <w:proofErr w:type="spellEnd"/>
      <w:r w:rsidRPr="0007699A">
        <w:rPr>
          <w:rFonts w:ascii="Times New Roman" w:hAnsi="Times New Roman" w:cs="Times New Roman"/>
          <w:iCs/>
          <w:shd w:val="clear" w:color="auto" w:fill="FFFFFF"/>
        </w:rPr>
        <w:t xml:space="preserve"> 4242 (WCB/WTB 2013)</w:t>
      </w:r>
      <w:r w:rsidRPr="0007699A">
        <w:rPr>
          <w:rFonts w:ascii="Times New Roman" w:hAnsi="Times New Roman" w:cs="Times New Roman"/>
        </w:rPr>
        <w:t>.</w:t>
      </w:r>
    </w:p>
  </w:footnote>
  <w:footnote w:id="2">
    <w:p w14:paraId="795AF07C" w14:textId="3C72724F" w:rsidR="0007699A" w:rsidRPr="0007699A" w:rsidRDefault="0007699A" w:rsidP="0007699A">
      <w:pPr>
        <w:pStyle w:val="FootnoteText"/>
        <w:spacing w:after="120"/>
        <w:rPr>
          <w:rFonts w:ascii="Times New Roman" w:hAnsi="Times New Roman" w:cs="Times New Roman"/>
        </w:rPr>
      </w:pPr>
      <w:r w:rsidRPr="0007699A">
        <w:rPr>
          <w:rStyle w:val="FootnoteReference"/>
          <w:rFonts w:ascii="Times New Roman" w:hAnsi="Times New Roman" w:cs="Times New Roman"/>
        </w:rPr>
        <w:footnoteRef/>
      </w:r>
      <w:r w:rsidRPr="0007699A">
        <w:rPr>
          <w:rFonts w:ascii="Times New Roman" w:hAnsi="Times New Roman" w:cs="Times New Roman"/>
        </w:rPr>
        <w:t xml:space="preserve"> </w:t>
      </w:r>
      <w:r w:rsidRPr="0007699A">
        <w:rPr>
          <w:rFonts w:ascii="Times New Roman" w:hAnsi="Times New Roman" w:cs="Times New Roman"/>
          <w:i/>
        </w:rPr>
        <w:t>See</w:t>
      </w:r>
      <w:r w:rsidRPr="0007699A">
        <w:rPr>
          <w:rFonts w:ascii="Times New Roman" w:hAnsi="Times New Roman" w:cs="Times New Roman"/>
        </w:rPr>
        <w:t xml:space="preserve"> </w:t>
      </w:r>
      <w:r w:rsidRPr="0007699A">
        <w:rPr>
          <w:rFonts w:ascii="Times New Roman" w:hAnsi="Times New Roman" w:cs="Times New Roman"/>
          <w:i/>
        </w:rPr>
        <w:t>Connect America Fund</w:t>
      </w:r>
      <w:r w:rsidRPr="0007699A">
        <w:rPr>
          <w:rFonts w:ascii="Times New Roman" w:hAnsi="Times New Roman" w:cs="Times New Roman"/>
        </w:rPr>
        <w:t xml:space="preserve">, WC Docket No. 10-90, Notice of Proposed Rulemaking and Order, 32 FCC </w:t>
      </w:r>
      <w:proofErr w:type="spellStart"/>
      <w:r w:rsidRPr="0007699A">
        <w:rPr>
          <w:rFonts w:ascii="Times New Roman" w:hAnsi="Times New Roman" w:cs="Times New Roman"/>
        </w:rPr>
        <w:t>Rcd</w:t>
      </w:r>
      <w:proofErr w:type="spellEnd"/>
      <w:r w:rsidRPr="0007699A">
        <w:rPr>
          <w:rFonts w:ascii="Times New Roman" w:hAnsi="Times New Roman" w:cs="Times New Roman"/>
        </w:rPr>
        <w:t xml:space="preserve"> 4509 (2017).</w:t>
      </w:r>
    </w:p>
  </w:footnote>
  <w:footnote w:id="3">
    <w:p w14:paraId="7F5D941B" w14:textId="24604BAB" w:rsidR="0007699A" w:rsidRPr="0007699A" w:rsidRDefault="0007699A" w:rsidP="0007699A">
      <w:pPr>
        <w:pStyle w:val="FootnoteText"/>
        <w:spacing w:after="120"/>
        <w:rPr>
          <w:rFonts w:ascii="Times New Roman" w:hAnsi="Times New Roman" w:cs="Times New Roman"/>
        </w:rPr>
      </w:pPr>
      <w:r w:rsidRPr="0007699A">
        <w:rPr>
          <w:rStyle w:val="FootnoteReference"/>
          <w:rFonts w:ascii="Times New Roman" w:hAnsi="Times New Roman" w:cs="Times New Roman"/>
        </w:rPr>
        <w:footnoteRef/>
      </w:r>
      <w:r w:rsidRPr="0007699A">
        <w:rPr>
          <w:rFonts w:ascii="Times New Roman" w:hAnsi="Times New Roman" w:cs="Times New Roman"/>
        </w:rPr>
        <w:t xml:space="preserve"> </w:t>
      </w:r>
      <w:r w:rsidRPr="0007699A">
        <w:rPr>
          <w:rFonts w:ascii="Times New Roman" w:hAnsi="Times New Roman" w:cs="Times New Roman"/>
          <w:i/>
        </w:rPr>
        <w:t>Id. at</w:t>
      </w:r>
      <w:r w:rsidRPr="0007699A">
        <w:rPr>
          <w:rFonts w:ascii="Times New Roman" w:hAnsi="Times New Roman" w:cs="Times New Roman"/>
        </w:rPr>
        <w:t xml:space="preserve"> 4514, paras. 14-15.</w:t>
      </w:r>
    </w:p>
  </w:footnote>
  <w:footnote w:id="4">
    <w:p w14:paraId="2EA583A3" w14:textId="2EE365FC" w:rsidR="0007699A" w:rsidRPr="00121172" w:rsidRDefault="0007699A" w:rsidP="00121172">
      <w:pPr>
        <w:pStyle w:val="FootnoteText"/>
        <w:spacing w:after="120"/>
        <w:rPr>
          <w:rFonts w:ascii="Times New Roman" w:hAnsi="Times New Roman" w:cs="Times New Roman"/>
        </w:rPr>
      </w:pPr>
      <w:r w:rsidRPr="0007699A">
        <w:rPr>
          <w:rStyle w:val="FootnoteReference"/>
          <w:rFonts w:ascii="Times New Roman" w:hAnsi="Times New Roman" w:cs="Times New Roman"/>
        </w:rPr>
        <w:footnoteRef/>
      </w:r>
      <w:r w:rsidRPr="0007699A">
        <w:rPr>
          <w:rFonts w:ascii="Times New Roman" w:hAnsi="Times New Roman" w:cs="Times New Roman"/>
        </w:rPr>
        <w:t xml:space="preserve"> </w:t>
      </w:r>
      <w:r w:rsidRPr="0007699A">
        <w:rPr>
          <w:rFonts w:ascii="Times New Roman" w:hAnsi="Times New Roman" w:cs="Times New Roman"/>
          <w:i/>
        </w:rPr>
        <w:t>See</w:t>
      </w:r>
      <w:r w:rsidRPr="0007699A">
        <w:rPr>
          <w:rFonts w:ascii="Times New Roman" w:hAnsi="Times New Roman" w:cs="Times New Roman"/>
        </w:rPr>
        <w:t xml:space="preserve"> 2014 Urban Rate Survey</w:t>
      </w:r>
      <w:r w:rsidRPr="00121172">
        <w:rPr>
          <w:rFonts w:ascii="Times New Roman" w:hAnsi="Times New Roman" w:cs="Times New Roman"/>
        </w:rPr>
        <w:t xml:space="preserve"> Methodology</w:t>
      </w:r>
      <w:r>
        <w:rPr>
          <w:rFonts w:ascii="Times New Roman" w:hAnsi="Times New Roman" w:cs="Times New Roman"/>
        </w:rPr>
        <w:t xml:space="preserve"> </w:t>
      </w:r>
      <w:r w:rsidRPr="00807DB4">
        <w:rPr>
          <w:rFonts w:ascii="Times New Roman" w:hAnsi="Times New Roman" w:cs="Times New Roman"/>
          <w:i/>
        </w:rPr>
        <w:t xml:space="preserve">available at </w:t>
      </w:r>
      <w:hyperlink r:id="rId1" w:history="1">
        <w:r w:rsidRPr="00121172">
          <w:rPr>
            <w:rStyle w:val="Hyperlink"/>
            <w:rFonts w:ascii="Times New Roman" w:hAnsi="Times New Roman" w:cs="Times New Roman"/>
          </w:rPr>
          <w:t>https://apps.fcc.gov/edocs_public/attachmatch/DA-14-520A3.pdf</w:t>
        </w:r>
      </w:hyperlink>
      <w:r w:rsidRPr="00121172">
        <w:rPr>
          <w:rFonts w:ascii="Times New Roman" w:hAnsi="Times New Roman" w:cs="Times New Roman"/>
        </w:rPr>
        <w:t>.</w:t>
      </w:r>
    </w:p>
  </w:footnote>
  <w:footnote w:id="5">
    <w:p w14:paraId="0D2DE9F1" w14:textId="4EF39F4A"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121172">
        <w:rPr>
          <w:rFonts w:ascii="Times New Roman" w:hAnsi="Times New Roman" w:cs="Times New Roman"/>
          <w:i/>
        </w:rPr>
        <w:t>See</w:t>
      </w:r>
      <w:r w:rsidRPr="00121172">
        <w:rPr>
          <w:rFonts w:ascii="Times New Roman" w:hAnsi="Times New Roman" w:cs="Times New Roman"/>
        </w:rPr>
        <w:t xml:space="preserve"> </w:t>
      </w:r>
      <w:r w:rsidRPr="00121172">
        <w:rPr>
          <w:rFonts w:ascii="Times New Roman" w:hAnsi="Times New Roman" w:cs="Times New Roman"/>
          <w:i/>
        </w:rPr>
        <w:t>id</w:t>
      </w:r>
      <w:r w:rsidRPr="00121172">
        <w:rPr>
          <w:rFonts w:ascii="Times New Roman" w:hAnsi="Times New Roman" w:cs="Times New Roman"/>
        </w:rPr>
        <w:t>.</w:t>
      </w:r>
    </w:p>
  </w:footnote>
  <w:footnote w:id="6">
    <w:p w14:paraId="70E92A11" w14:textId="4B83539E"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Forty-five census tracts had no residential households. These census tracts were not included in the frame.</w:t>
      </w:r>
    </w:p>
  </w:footnote>
  <w:footnote w:id="7">
    <w:p w14:paraId="547923E3" w14:textId="2E552924"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The number of “offers” is the estimated number of potential customers to which the providers advertise their service.</w:t>
      </w:r>
    </w:p>
  </w:footnote>
  <w:footnote w:id="8">
    <w:p w14:paraId="3BFFD4D3" w14:textId="57389021" w:rsidR="0007699A" w:rsidRPr="00121172" w:rsidRDefault="0007699A" w:rsidP="00121172">
      <w:pPr>
        <w:spacing w:after="120" w:line="240" w:lineRule="auto"/>
        <w:rPr>
          <w:rFonts w:ascii="Times New Roman" w:hAnsi="Times New Roman" w:cs="Times New Roman"/>
          <w:sz w:val="20"/>
          <w:szCs w:val="20"/>
        </w:rPr>
      </w:pPr>
      <w:r w:rsidRPr="00121172">
        <w:rPr>
          <w:rStyle w:val="FootnoteReference"/>
          <w:rFonts w:ascii="Times New Roman" w:hAnsi="Times New Roman" w:cs="Times New Roman"/>
          <w:sz w:val="20"/>
          <w:szCs w:val="20"/>
        </w:rPr>
        <w:footnoteRef/>
      </w:r>
      <w:r w:rsidRPr="00121172">
        <w:rPr>
          <w:rFonts w:ascii="Times New Roman" w:hAnsi="Times New Roman" w:cs="Times New Roman"/>
          <w:sz w:val="20"/>
          <w:szCs w:val="20"/>
        </w:rPr>
        <w:t xml:space="preserve"> Linear regression was used to regress Log</w:t>
      </w:r>
      <w:r w:rsidRPr="00121172">
        <w:rPr>
          <w:rFonts w:ascii="Times New Roman" w:hAnsi="Times New Roman" w:cs="Times New Roman"/>
          <w:sz w:val="20"/>
          <w:szCs w:val="20"/>
          <w:vertAlign w:val="subscript"/>
        </w:rPr>
        <w:t>10</w:t>
      </w:r>
      <w:r w:rsidRPr="00121172">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p</m:t>
            </m:r>
          </m:num>
          <m:den>
            <m:r>
              <w:rPr>
                <w:rFonts w:ascii="Cambria Math" w:hAnsi="Cambria Math" w:cs="Times New Roman"/>
                <w:sz w:val="20"/>
                <w:szCs w:val="20"/>
              </w:rPr>
              <m:t>1-p</m:t>
            </m:r>
          </m:den>
        </m:f>
      </m:oMath>
      <w:r w:rsidRPr="00121172">
        <w:rPr>
          <w:rFonts w:ascii="Times New Roman" w:hAnsi="Times New Roman" w:cs="Times New Roman"/>
          <w:sz w:val="20"/>
          <w:szCs w:val="20"/>
        </w:rPr>
        <w:t>) on Log</w:t>
      </w:r>
      <w:r w:rsidRPr="00121172">
        <w:rPr>
          <w:rFonts w:ascii="Times New Roman" w:hAnsi="Times New Roman" w:cs="Times New Roman"/>
          <w:sz w:val="20"/>
          <w:szCs w:val="20"/>
          <w:vertAlign w:val="subscript"/>
        </w:rPr>
        <w:t>10</w:t>
      </w:r>
      <w:r w:rsidRPr="00121172">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s</m:t>
            </m:r>
          </m:num>
          <m:den>
            <m:r>
              <w:rPr>
                <w:rFonts w:ascii="Cambria Math" w:hAnsi="Cambria Math" w:cs="Times New Roman"/>
                <w:sz w:val="20"/>
                <w:szCs w:val="20"/>
              </w:rPr>
              <m:t>1-s</m:t>
            </m:r>
          </m:den>
        </m:f>
      </m:oMath>
      <w:r w:rsidRPr="00121172">
        <w:rPr>
          <w:rFonts w:ascii="Times New Roman" w:hAnsi="Times New Roman" w:cs="Times New Roman"/>
          <w:sz w:val="20"/>
          <w:szCs w:val="20"/>
        </w:rPr>
        <w:t>) where p is the fraction of housing units covered by the broadband provider in the census tract and s is the provider’s broadband subscriber fraction of households in the tract. This assumes that the relationship of voice provider presence to voice subscribership is similar to that of broadband provider presence to broadband subscribership.</w:t>
      </w:r>
    </w:p>
  </w:footnote>
  <w:footnote w:id="9">
    <w:p w14:paraId="609465DD" w14:textId="7FBCC0E1"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Responses that indicated </w:t>
      </w:r>
      <w:r>
        <w:rPr>
          <w:rFonts w:ascii="Times New Roman" w:hAnsi="Times New Roman" w:cs="Times New Roman"/>
        </w:rPr>
        <w:t xml:space="preserve">residential </w:t>
      </w:r>
      <w:r w:rsidRPr="00121172">
        <w:rPr>
          <w:rFonts w:ascii="Times New Roman" w:hAnsi="Times New Roman" w:cs="Times New Roman"/>
        </w:rPr>
        <w:t>service</w:t>
      </w:r>
      <w:r>
        <w:rPr>
          <w:rFonts w:ascii="Times New Roman" w:hAnsi="Times New Roman" w:cs="Times New Roman"/>
        </w:rPr>
        <w:t xml:space="preserve"> was</w:t>
      </w:r>
      <w:r w:rsidRPr="00121172">
        <w:rPr>
          <w:rFonts w:ascii="Times New Roman" w:hAnsi="Times New Roman" w:cs="Times New Roman"/>
        </w:rPr>
        <w:t xml:space="preserve"> provided but later found to be business only or bundled only are excluded from this count.</w:t>
      </w:r>
    </w:p>
  </w:footnote>
  <w:footnote w:id="10">
    <w:p w14:paraId="3814A681" w14:textId="507689E7"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Recurring Service Charge is abbreviated as RSC.</w:t>
      </w:r>
    </w:p>
  </w:footnote>
  <w:footnote w:id="11">
    <w:p w14:paraId="0B4466D4" w14:textId="1DB32B7C"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State Subscriber Line Charge is abbreviated as </w:t>
      </w:r>
      <w:proofErr w:type="spellStart"/>
      <w:r w:rsidRPr="00121172">
        <w:rPr>
          <w:rFonts w:ascii="Times New Roman" w:hAnsi="Times New Roman" w:cs="Times New Roman"/>
        </w:rPr>
        <w:t>StSLC</w:t>
      </w:r>
      <w:proofErr w:type="spellEnd"/>
      <w:r w:rsidRPr="00121172">
        <w:rPr>
          <w:rFonts w:ascii="Times New Roman" w:hAnsi="Times New Roman" w:cs="Times New Roman"/>
        </w:rPr>
        <w:t>.</w:t>
      </w:r>
    </w:p>
  </w:footnote>
  <w:footnote w:id="12">
    <w:p w14:paraId="5A297CD3" w14:textId="6843F6D7"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State USF is abbreviated as </w:t>
      </w:r>
      <w:proofErr w:type="spellStart"/>
      <w:r w:rsidRPr="00121172">
        <w:rPr>
          <w:rFonts w:ascii="Times New Roman" w:hAnsi="Times New Roman" w:cs="Times New Roman"/>
        </w:rPr>
        <w:t>StUSF</w:t>
      </w:r>
      <w:proofErr w:type="spellEnd"/>
      <w:r w:rsidRPr="00121172">
        <w:rPr>
          <w:rFonts w:ascii="Times New Roman" w:hAnsi="Times New Roman" w:cs="Times New Roman"/>
        </w:rPr>
        <w:t>.</w:t>
      </w:r>
    </w:p>
  </w:footnote>
  <w:footnote w:id="13">
    <w:p w14:paraId="04A69222" w14:textId="12619244"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Mandatory Extended Area Service is abbreviated as </w:t>
      </w:r>
      <w:proofErr w:type="spellStart"/>
      <w:r w:rsidRPr="00121172">
        <w:rPr>
          <w:rFonts w:ascii="Times New Roman" w:hAnsi="Times New Roman" w:cs="Times New Roman"/>
        </w:rPr>
        <w:t>ManEAS</w:t>
      </w:r>
      <w:proofErr w:type="spellEnd"/>
      <w:r w:rsidRPr="00121172">
        <w:rPr>
          <w:rFonts w:ascii="Times New Roman" w:hAnsi="Times New Roman" w:cs="Times New Roman"/>
        </w:rPr>
        <w:t>.</w:t>
      </w:r>
    </w:p>
  </w:footnote>
  <w:footnote w:id="14">
    <w:p w14:paraId="0540CFE9" w14:textId="4434ED5B"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Federal Subscriber Line Charge is abbreviated as FSLC.</w:t>
      </w:r>
    </w:p>
  </w:footnote>
  <w:footnote w:id="15">
    <w:p w14:paraId="7C864E33" w14:textId="647BC95E"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The term “minimum” is used here to indicate that the RSC, </w:t>
      </w:r>
      <w:proofErr w:type="spellStart"/>
      <w:r w:rsidRPr="00121172">
        <w:rPr>
          <w:rFonts w:ascii="Times New Roman" w:hAnsi="Times New Roman" w:cs="Times New Roman"/>
        </w:rPr>
        <w:t>StSLC</w:t>
      </w:r>
      <w:proofErr w:type="spellEnd"/>
      <w:r w:rsidRPr="00121172">
        <w:rPr>
          <w:rFonts w:ascii="Times New Roman" w:hAnsi="Times New Roman" w:cs="Times New Roman"/>
        </w:rPr>
        <w:t xml:space="preserve">, </w:t>
      </w:r>
      <w:proofErr w:type="spellStart"/>
      <w:r w:rsidRPr="00121172">
        <w:rPr>
          <w:rFonts w:ascii="Times New Roman" w:hAnsi="Times New Roman" w:cs="Times New Roman"/>
        </w:rPr>
        <w:t>StUSF</w:t>
      </w:r>
      <w:proofErr w:type="spellEnd"/>
      <w:r w:rsidRPr="00121172">
        <w:rPr>
          <w:rFonts w:ascii="Times New Roman" w:hAnsi="Times New Roman" w:cs="Times New Roman"/>
        </w:rPr>
        <w:t xml:space="preserve">, </w:t>
      </w:r>
      <w:proofErr w:type="spellStart"/>
      <w:r w:rsidRPr="00121172">
        <w:rPr>
          <w:rFonts w:ascii="Times New Roman" w:hAnsi="Times New Roman" w:cs="Times New Roman"/>
        </w:rPr>
        <w:t>ManEAS</w:t>
      </w:r>
      <w:proofErr w:type="spellEnd"/>
      <w:r w:rsidRPr="00121172">
        <w:rPr>
          <w:rFonts w:ascii="Times New Roman" w:hAnsi="Times New Roman" w:cs="Times New Roman"/>
        </w:rPr>
        <w:t>, and FSLC values for single rates (as opposed to multiple rates) because such values are recorded in the survey data set as a “minimum” value.</w:t>
      </w:r>
    </w:p>
  </w:footnote>
  <w:footnote w:id="16">
    <w:p w14:paraId="30C6B060" w14:textId="57547CA9"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121172">
        <w:rPr>
          <w:rFonts w:ascii="Times New Roman" w:hAnsi="Times New Roman" w:cs="Times New Roman"/>
          <w:i/>
          <w:color w:val="000000"/>
        </w:rPr>
        <w:t xml:space="preserve">Connect America Fund; A National Broadband Plan for Our Future; Establishing Just and Reasonable Rates for Local Exchange Carriers; High-Cost Universal Service Support; Developing a Unified </w:t>
      </w:r>
      <w:proofErr w:type="spellStart"/>
      <w:r w:rsidRPr="00121172">
        <w:rPr>
          <w:rFonts w:ascii="Times New Roman" w:hAnsi="Times New Roman" w:cs="Times New Roman"/>
          <w:i/>
          <w:color w:val="000000"/>
        </w:rPr>
        <w:t>Intercarrier</w:t>
      </w:r>
      <w:proofErr w:type="spellEnd"/>
      <w:r w:rsidRPr="00121172">
        <w:rPr>
          <w:rFonts w:ascii="Times New Roman" w:hAnsi="Times New Roman" w:cs="Times New Roman"/>
          <w:i/>
          <w:color w:val="000000"/>
        </w:rPr>
        <w:t xml:space="preserve"> Compensation Regime; Federal-State Joint Board on Universal Service; Lifeline and Link-Up; Universal Service Reform – Mobility Fund</w:t>
      </w:r>
      <w:r w:rsidRPr="00121172">
        <w:rPr>
          <w:rFonts w:ascii="Times New Roman" w:hAnsi="Times New Roman" w:cs="Times New Roman"/>
          <w:color w:val="000000"/>
        </w:rPr>
        <w:t xml:space="preserve">; WC Docket Nos. 10-90, 07-135, 05-337, 03-109, CC Docket Nos. 01-92, 96-45, GN Docket No. 09-51, WT Docket No. 10-208, Report and Order and Further Notice of Proposed Rulemaking, 26 FCC </w:t>
      </w:r>
      <w:proofErr w:type="spellStart"/>
      <w:r w:rsidRPr="00121172">
        <w:rPr>
          <w:rFonts w:ascii="Times New Roman" w:hAnsi="Times New Roman" w:cs="Times New Roman"/>
          <w:color w:val="000000"/>
        </w:rPr>
        <w:t>Rcd</w:t>
      </w:r>
      <w:proofErr w:type="spellEnd"/>
      <w:r w:rsidRPr="00121172">
        <w:rPr>
          <w:rFonts w:ascii="Times New Roman" w:hAnsi="Times New Roman" w:cs="Times New Roman"/>
          <w:color w:val="000000"/>
        </w:rPr>
        <w:t xml:space="preserve"> 17663, 17751, para. 238 (2011) </w:t>
      </w:r>
      <w:r w:rsidRPr="00121172">
        <w:rPr>
          <w:rFonts w:ascii="Times New Roman" w:hAnsi="Times New Roman" w:cs="Times New Roman"/>
        </w:rPr>
        <w:t>(</w:t>
      </w:r>
      <w:r w:rsidRPr="00121172">
        <w:rPr>
          <w:rFonts w:ascii="Times New Roman" w:hAnsi="Times New Roman" w:cs="Times New Roman"/>
          <w:i/>
        </w:rPr>
        <w:t>USF/ICC Transformation Order and/or FNPRM</w:t>
      </w:r>
      <w:r w:rsidRPr="00121172">
        <w:rPr>
          <w:rFonts w:ascii="Times New Roman" w:hAnsi="Times New Roman" w:cs="Times New Roman"/>
        </w:rPr>
        <w:t xml:space="preserve">); </w:t>
      </w:r>
      <w:r w:rsidRPr="00121172">
        <w:rPr>
          <w:rFonts w:ascii="Times New Roman" w:hAnsi="Times New Roman" w:cs="Times New Roman"/>
          <w:i/>
          <w:iCs/>
        </w:rPr>
        <w:t>aff’d sub nom., In re: FCC 11-161</w:t>
      </w:r>
      <w:r w:rsidRPr="00121172">
        <w:rPr>
          <w:rFonts w:ascii="Times New Roman" w:hAnsi="Times New Roman" w:cs="Times New Roman"/>
        </w:rPr>
        <w:t>, 753 F.3d 1015 (10th Cir. 2014)</w:t>
      </w:r>
      <w:r w:rsidRPr="00121172">
        <w:rPr>
          <w:rFonts w:ascii="Times New Roman" w:hAnsi="Times New Roman" w:cs="Times New Roman"/>
          <w:i/>
        </w:rPr>
        <w:t>.</w:t>
      </w:r>
    </w:p>
  </w:footnote>
  <w:footnote w:id="17">
    <w:p w14:paraId="6A0B6552" w14:textId="7091229A" w:rsidR="0007699A" w:rsidRPr="00121172" w:rsidRDefault="0007699A" w:rsidP="00121172">
      <w:pPr>
        <w:pStyle w:val="FootnoteText"/>
        <w:spacing w:after="120"/>
        <w:rPr>
          <w:rFonts w:ascii="Times New Roman" w:hAnsi="Times New Roman" w:cs="Times New Roman"/>
        </w:rPr>
      </w:pPr>
      <w:r w:rsidRPr="00121172">
        <w:rPr>
          <w:rStyle w:val="FootnoteReference"/>
          <w:rFonts w:ascii="Times New Roman" w:hAnsi="Times New Roman" w:cs="Times New Roman"/>
        </w:rPr>
        <w:footnoteRef/>
      </w:r>
      <w:r w:rsidRPr="00121172">
        <w:rPr>
          <w:rFonts w:ascii="Times New Roman" w:hAnsi="Times New Roman" w:cs="Times New Roman"/>
        </w:rPr>
        <w:t xml:space="preserve"> </w:t>
      </w:r>
      <w:r w:rsidRPr="00121172">
        <w:rPr>
          <w:rFonts w:ascii="Times New Roman" w:hAnsi="Times New Roman" w:cs="Times New Roman"/>
          <w:i/>
        </w:rPr>
        <w:t>See</w:t>
      </w:r>
      <w:r w:rsidRPr="00121172">
        <w:rPr>
          <w:rFonts w:ascii="Times New Roman" w:hAnsi="Times New Roman" w:cs="Times New Roman"/>
        </w:rPr>
        <w:t xml:space="preserve"> USF/ICC Transformation Order, </w:t>
      </w:r>
      <w:r w:rsidRPr="00121172">
        <w:rPr>
          <w:rFonts w:ascii="Times New Roman" w:hAnsi="Times New Roman" w:cs="Times New Roman"/>
          <w:color w:val="000000"/>
        </w:rPr>
        <w:t xml:space="preserve">26 FCC </w:t>
      </w:r>
      <w:proofErr w:type="spellStart"/>
      <w:r w:rsidRPr="00121172">
        <w:rPr>
          <w:rFonts w:ascii="Times New Roman" w:hAnsi="Times New Roman" w:cs="Times New Roman"/>
          <w:color w:val="000000"/>
        </w:rPr>
        <w:t>Rcd</w:t>
      </w:r>
      <w:proofErr w:type="spellEnd"/>
      <w:r w:rsidRPr="00121172">
        <w:rPr>
          <w:rFonts w:ascii="Times New Roman" w:hAnsi="Times New Roman" w:cs="Times New Roman"/>
        </w:rPr>
        <w:t xml:space="preserve"> at 17694, para.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4A89" w14:textId="4B6B359F" w:rsidR="0007699A" w:rsidRPr="00D74716" w:rsidRDefault="0007699A">
    <w:pPr>
      <w:pStyle w:val="Header"/>
      <w:rPr>
        <w:rFonts w:ascii="Times New Roman" w:hAnsi="Times New Roman" w:cs="Times New Roman"/>
      </w:rPr>
    </w:pPr>
    <w:r>
      <w:tab/>
    </w:r>
    <w:r w:rsidRPr="00D74716">
      <w:rPr>
        <w:rFonts w:ascii="Times New Roman" w:hAnsi="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6C56" w14:textId="0D23B7F7" w:rsidR="0007699A" w:rsidRDefault="0007699A">
    <w:pPr>
      <w:pStyle w:val="Header"/>
    </w:pPr>
    <w:r>
      <w:t>DRAFT</w:t>
    </w:r>
    <w:r>
      <w:tab/>
      <w:t>FCC Non-Public:  Internal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38B8"/>
    <w:multiLevelType w:val="hybridMultilevel"/>
    <w:tmpl w:val="530ED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92921"/>
    <w:multiLevelType w:val="hybridMultilevel"/>
    <w:tmpl w:val="1CBA8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5038E"/>
    <w:multiLevelType w:val="hybridMultilevel"/>
    <w:tmpl w:val="13FA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21E6B"/>
    <w:multiLevelType w:val="hybridMultilevel"/>
    <w:tmpl w:val="51FA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E05C9"/>
    <w:multiLevelType w:val="hybridMultilevel"/>
    <w:tmpl w:val="0C546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72CA9"/>
    <w:multiLevelType w:val="hybridMultilevel"/>
    <w:tmpl w:val="3058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E3C88"/>
    <w:multiLevelType w:val="hybridMultilevel"/>
    <w:tmpl w:val="F770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D2444"/>
    <w:multiLevelType w:val="hybridMultilevel"/>
    <w:tmpl w:val="E66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4074B"/>
    <w:multiLevelType w:val="hybridMultilevel"/>
    <w:tmpl w:val="6E34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86E4B"/>
    <w:multiLevelType w:val="hybridMultilevel"/>
    <w:tmpl w:val="E990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377F5"/>
    <w:multiLevelType w:val="hybridMultilevel"/>
    <w:tmpl w:val="AD96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93D62"/>
    <w:multiLevelType w:val="hybridMultilevel"/>
    <w:tmpl w:val="3D98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135AE"/>
    <w:multiLevelType w:val="hybridMultilevel"/>
    <w:tmpl w:val="1A50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B5398"/>
    <w:multiLevelType w:val="hybridMultilevel"/>
    <w:tmpl w:val="8CDC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12"/>
  </w:num>
  <w:num w:numId="5">
    <w:abstractNumId w:val="9"/>
  </w:num>
  <w:num w:numId="6">
    <w:abstractNumId w:val="0"/>
  </w:num>
  <w:num w:numId="7">
    <w:abstractNumId w:val="2"/>
  </w:num>
  <w:num w:numId="8">
    <w:abstractNumId w:val="11"/>
  </w:num>
  <w:num w:numId="9">
    <w:abstractNumId w:val="3"/>
  </w:num>
  <w:num w:numId="10">
    <w:abstractNumId w:val="7"/>
  </w:num>
  <w:num w:numId="11">
    <w:abstractNumId w:val="13"/>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14"/>
    <w:rsid w:val="00000BE0"/>
    <w:rsid w:val="00003F6E"/>
    <w:rsid w:val="0000771A"/>
    <w:rsid w:val="00016BF7"/>
    <w:rsid w:val="00022A89"/>
    <w:rsid w:val="00022D85"/>
    <w:rsid w:val="0002591E"/>
    <w:rsid w:val="000274C3"/>
    <w:rsid w:val="00027BA0"/>
    <w:rsid w:val="00033278"/>
    <w:rsid w:val="00033998"/>
    <w:rsid w:val="00033F2A"/>
    <w:rsid w:val="000345D2"/>
    <w:rsid w:val="00040CC2"/>
    <w:rsid w:val="00044BFF"/>
    <w:rsid w:val="00046488"/>
    <w:rsid w:val="00050EF0"/>
    <w:rsid w:val="000562C7"/>
    <w:rsid w:val="000605F8"/>
    <w:rsid w:val="000629F1"/>
    <w:rsid w:val="0006798A"/>
    <w:rsid w:val="00071FC7"/>
    <w:rsid w:val="0007699A"/>
    <w:rsid w:val="000770C0"/>
    <w:rsid w:val="00092A97"/>
    <w:rsid w:val="000938E4"/>
    <w:rsid w:val="000A10CD"/>
    <w:rsid w:val="000A3475"/>
    <w:rsid w:val="000A5751"/>
    <w:rsid w:val="000A6751"/>
    <w:rsid w:val="000A68A2"/>
    <w:rsid w:val="000C298D"/>
    <w:rsid w:val="000D1ADD"/>
    <w:rsid w:val="000E21A3"/>
    <w:rsid w:val="000E3034"/>
    <w:rsid w:val="000F5379"/>
    <w:rsid w:val="000F7690"/>
    <w:rsid w:val="00105AEF"/>
    <w:rsid w:val="00106505"/>
    <w:rsid w:val="00106F42"/>
    <w:rsid w:val="001072E5"/>
    <w:rsid w:val="00121172"/>
    <w:rsid w:val="00121939"/>
    <w:rsid w:val="00121C93"/>
    <w:rsid w:val="001228F1"/>
    <w:rsid w:val="001269EF"/>
    <w:rsid w:val="0014000E"/>
    <w:rsid w:val="00144A40"/>
    <w:rsid w:val="00144B7E"/>
    <w:rsid w:val="00147BBC"/>
    <w:rsid w:val="00151217"/>
    <w:rsid w:val="001538DD"/>
    <w:rsid w:val="00153DE8"/>
    <w:rsid w:val="001638F3"/>
    <w:rsid w:val="00163F49"/>
    <w:rsid w:val="0016665A"/>
    <w:rsid w:val="00167D08"/>
    <w:rsid w:val="00173D97"/>
    <w:rsid w:val="0018165F"/>
    <w:rsid w:val="00185756"/>
    <w:rsid w:val="00185B53"/>
    <w:rsid w:val="00185C41"/>
    <w:rsid w:val="00192C3A"/>
    <w:rsid w:val="00195BCD"/>
    <w:rsid w:val="001B0373"/>
    <w:rsid w:val="001B0881"/>
    <w:rsid w:val="001B39E8"/>
    <w:rsid w:val="001B5609"/>
    <w:rsid w:val="001C1E01"/>
    <w:rsid w:val="001C49F6"/>
    <w:rsid w:val="001E6012"/>
    <w:rsid w:val="001F4464"/>
    <w:rsid w:val="002036AA"/>
    <w:rsid w:val="002128FC"/>
    <w:rsid w:val="0021551C"/>
    <w:rsid w:val="0021677C"/>
    <w:rsid w:val="00222453"/>
    <w:rsid w:val="00223455"/>
    <w:rsid w:val="00224E0D"/>
    <w:rsid w:val="00231F21"/>
    <w:rsid w:val="00235820"/>
    <w:rsid w:val="002361FE"/>
    <w:rsid w:val="0024178A"/>
    <w:rsid w:val="00241D73"/>
    <w:rsid w:val="00253403"/>
    <w:rsid w:val="0025661D"/>
    <w:rsid w:val="00260653"/>
    <w:rsid w:val="002642B4"/>
    <w:rsid w:val="00272134"/>
    <w:rsid w:val="0028303F"/>
    <w:rsid w:val="00286D8A"/>
    <w:rsid w:val="002925B8"/>
    <w:rsid w:val="00294DF1"/>
    <w:rsid w:val="00297138"/>
    <w:rsid w:val="002B484D"/>
    <w:rsid w:val="002B7072"/>
    <w:rsid w:val="002C0784"/>
    <w:rsid w:val="002C4DB5"/>
    <w:rsid w:val="002C53C5"/>
    <w:rsid w:val="002D2076"/>
    <w:rsid w:val="002D4AD7"/>
    <w:rsid w:val="002D7081"/>
    <w:rsid w:val="002E07C2"/>
    <w:rsid w:val="002E6B00"/>
    <w:rsid w:val="002F07DF"/>
    <w:rsid w:val="002F134E"/>
    <w:rsid w:val="002F3BE7"/>
    <w:rsid w:val="002F722B"/>
    <w:rsid w:val="00304F2F"/>
    <w:rsid w:val="0030645F"/>
    <w:rsid w:val="00310FB5"/>
    <w:rsid w:val="00312CCD"/>
    <w:rsid w:val="00314EA8"/>
    <w:rsid w:val="003239D9"/>
    <w:rsid w:val="00327A00"/>
    <w:rsid w:val="00340181"/>
    <w:rsid w:val="00341B75"/>
    <w:rsid w:val="00342F34"/>
    <w:rsid w:val="0034488A"/>
    <w:rsid w:val="003525F4"/>
    <w:rsid w:val="003539DA"/>
    <w:rsid w:val="00356DEF"/>
    <w:rsid w:val="0036015B"/>
    <w:rsid w:val="00366D32"/>
    <w:rsid w:val="00370EBD"/>
    <w:rsid w:val="0037580B"/>
    <w:rsid w:val="00376129"/>
    <w:rsid w:val="00376584"/>
    <w:rsid w:val="003878F7"/>
    <w:rsid w:val="003A408A"/>
    <w:rsid w:val="003A7E04"/>
    <w:rsid w:val="003B172E"/>
    <w:rsid w:val="003B2F5F"/>
    <w:rsid w:val="003B4375"/>
    <w:rsid w:val="003B60B3"/>
    <w:rsid w:val="003B75BB"/>
    <w:rsid w:val="003B7E5A"/>
    <w:rsid w:val="003C146E"/>
    <w:rsid w:val="003C4DFA"/>
    <w:rsid w:val="003C569A"/>
    <w:rsid w:val="003D185D"/>
    <w:rsid w:val="003D561A"/>
    <w:rsid w:val="003E21A8"/>
    <w:rsid w:val="003E416B"/>
    <w:rsid w:val="003F67F1"/>
    <w:rsid w:val="00400D12"/>
    <w:rsid w:val="004037C9"/>
    <w:rsid w:val="004076A7"/>
    <w:rsid w:val="00407AEE"/>
    <w:rsid w:val="004125C8"/>
    <w:rsid w:val="00414465"/>
    <w:rsid w:val="004145FF"/>
    <w:rsid w:val="00423479"/>
    <w:rsid w:val="004379F2"/>
    <w:rsid w:val="004450B2"/>
    <w:rsid w:val="00447AA6"/>
    <w:rsid w:val="0045009B"/>
    <w:rsid w:val="0045101A"/>
    <w:rsid w:val="00454602"/>
    <w:rsid w:val="004566E0"/>
    <w:rsid w:val="00463952"/>
    <w:rsid w:val="0046563B"/>
    <w:rsid w:val="0047194D"/>
    <w:rsid w:val="00477954"/>
    <w:rsid w:val="0048023D"/>
    <w:rsid w:val="0048180E"/>
    <w:rsid w:val="0048538D"/>
    <w:rsid w:val="00485530"/>
    <w:rsid w:val="004856E8"/>
    <w:rsid w:val="004973C8"/>
    <w:rsid w:val="004A4267"/>
    <w:rsid w:val="004A5669"/>
    <w:rsid w:val="004A773C"/>
    <w:rsid w:val="004B08C6"/>
    <w:rsid w:val="004B3108"/>
    <w:rsid w:val="004B3335"/>
    <w:rsid w:val="004B3FA1"/>
    <w:rsid w:val="004B4293"/>
    <w:rsid w:val="004B5536"/>
    <w:rsid w:val="004B66AD"/>
    <w:rsid w:val="004C102C"/>
    <w:rsid w:val="004C1754"/>
    <w:rsid w:val="004C344D"/>
    <w:rsid w:val="004C361E"/>
    <w:rsid w:val="004C49D9"/>
    <w:rsid w:val="004D4698"/>
    <w:rsid w:val="004D506F"/>
    <w:rsid w:val="004D638E"/>
    <w:rsid w:val="004E1DE6"/>
    <w:rsid w:val="004E7D80"/>
    <w:rsid w:val="004F54E1"/>
    <w:rsid w:val="004F57CC"/>
    <w:rsid w:val="00503F26"/>
    <w:rsid w:val="00505DD7"/>
    <w:rsid w:val="0051381D"/>
    <w:rsid w:val="00513CE4"/>
    <w:rsid w:val="00520192"/>
    <w:rsid w:val="00532B87"/>
    <w:rsid w:val="005427BA"/>
    <w:rsid w:val="0054292C"/>
    <w:rsid w:val="00544248"/>
    <w:rsid w:val="005446C9"/>
    <w:rsid w:val="005459D5"/>
    <w:rsid w:val="005510BB"/>
    <w:rsid w:val="005517C3"/>
    <w:rsid w:val="005518E5"/>
    <w:rsid w:val="0055548C"/>
    <w:rsid w:val="00556014"/>
    <w:rsid w:val="00560AA4"/>
    <w:rsid w:val="005612E3"/>
    <w:rsid w:val="0056491F"/>
    <w:rsid w:val="00565626"/>
    <w:rsid w:val="0056696A"/>
    <w:rsid w:val="00573DE2"/>
    <w:rsid w:val="00575E83"/>
    <w:rsid w:val="00580C56"/>
    <w:rsid w:val="00580D77"/>
    <w:rsid w:val="00581308"/>
    <w:rsid w:val="005845B0"/>
    <w:rsid w:val="00586340"/>
    <w:rsid w:val="00594970"/>
    <w:rsid w:val="005A5431"/>
    <w:rsid w:val="005B2D1E"/>
    <w:rsid w:val="005B33B1"/>
    <w:rsid w:val="005B358E"/>
    <w:rsid w:val="005B62BC"/>
    <w:rsid w:val="005C7D3D"/>
    <w:rsid w:val="005D3121"/>
    <w:rsid w:val="005D3F4D"/>
    <w:rsid w:val="005D7563"/>
    <w:rsid w:val="005D7C7D"/>
    <w:rsid w:val="005E103E"/>
    <w:rsid w:val="005E5C70"/>
    <w:rsid w:val="006025B3"/>
    <w:rsid w:val="0060380C"/>
    <w:rsid w:val="0060558E"/>
    <w:rsid w:val="006063B1"/>
    <w:rsid w:val="006065CF"/>
    <w:rsid w:val="00610B66"/>
    <w:rsid w:val="00612185"/>
    <w:rsid w:val="006239FF"/>
    <w:rsid w:val="00623D05"/>
    <w:rsid w:val="0062510F"/>
    <w:rsid w:val="00625D2E"/>
    <w:rsid w:val="00625FAC"/>
    <w:rsid w:val="00633A07"/>
    <w:rsid w:val="006353B4"/>
    <w:rsid w:val="006425C2"/>
    <w:rsid w:val="00642994"/>
    <w:rsid w:val="00644031"/>
    <w:rsid w:val="006448D9"/>
    <w:rsid w:val="00650619"/>
    <w:rsid w:val="0065265E"/>
    <w:rsid w:val="00657184"/>
    <w:rsid w:val="00657A39"/>
    <w:rsid w:val="00657C1B"/>
    <w:rsid w:val="006603F4"/>
    <w:rsid w:val="00665847"/>
    <w:rsid w:val="00665BAA"/>
    <w:rsid w:val="0067686B"/>
    <w:rsid w:val="00677EA4"/>
    <w:rsid w:val="006832C6"/>
    <w:rsid w:val="00683A17"/>
    <w:rsid w:val="00683E9B"/>
    <w:rsid w:val="006A3F4E"/>
    <w:rsid w:val="006A513B"/>
    <w:rsid w:val="006A606C"/>
    <w:rsid w:val="006A6E83"/>
    <w:rsid w:val="006B284C"/>
    <w:rsid w:val="006B49FF"/>
    <w:rsid w:val="006B4D00"/>
    <w:rsid w:val="006B7B2F"/>
    <w:rsid w:val="006C2A2C"/>
    <w:rsid w:val="006D15A4"/>
    <w:rsid w:val="006D3792"/>
    <w:rsid w:val="006D5856"/>
    <w:rsid w:val="006E1ACA"/>
    <w:rsid w:val="006E1E5F"/>
    <w:rsid w:val="006F2A18"/>
    <w:rsid w:val="006F2FA8"/>
    <w:rsid w:val="006F40F3"/>
    <w:rsid w:val="006F5C23"/>
    <w:rsid w:val="00705834"/>
    <w:rsid w:val="007068BC"/>
    <w:rsid w:val="0071365F"/>
    <w:rsid w:val="007153C0"/>
    <w:rsid w:val="007206CE"/>
    <w:rsid w:val="00722A3F"/>
    <w:rsid w:val="00722E30"/>
    <w:rsid w:val="0072680D"/>
    <w:rsid w:val="00732085"/>
    <w:rsid w:val="0074079C"/>
    <w:rsid w:val="00746434"/>
    <w:rsid w:val="00752DFD"/>
    <w:rsid w:val="0075503F"/>
    <w:rsid w:val="00756192"/>
    <w:rsid w:val="00756207"/>
    <w:rsid w:val="0076242C"/>
    <w:rsid w:val="00776AA0"/>
    <w:rsid w:val="00776E22"/>
    <w:rsid w:val="0078443B"/>
    <w:rsid w:val="00796005"/>
    <w:rsid w:val="007A259F"/>
    <w:rsid w:val="007B0A30"/>
    <w:rsid w:val="007B0D19"/>
    <w:rsid w:val="007B3DF2"/>
    <w:rsid w:val="007B3E8A"/>
    <w:rsid w:val="007B3F15"/>
    <w:rsid w:val="007B430B"/>
    <w:rsid w:val="007B5F0A"/>
    <w:rsid w:val="007C1B36"/>
    <w:rsid w:val="007E6152"/>
    <w:rsid w:val="007F7CF3"/>
    <w:rsid w:val="008053E1"/>
    <w:rsid w:val="00807DB4"/>
    <w:rsid w:val="00813BFA"/>
    <w:rsid w:val="00814F97"/>
    <w:rsid w:val="008164A4"/>
    <w:rsid w:val="008300F5"/>
    <w:rsid w:val="00833DA0"/>
    <w:rsid w:val="008372FF"/>
    <w:rsid w:val="00837F73"/>
    <w:rsid w:val="008434FD"/>
    <w:rsid w:val="00843BAC"/>
    <w:rsid w:val="008469AF"/>
    <w:rsid w:val="00847396"/>
    <w:rsid w:val="00852E42"/>
    <w:rsid w:val="008563DC"/>
    <w:rsid w:val="008577BC"/>
    <w:rsid w:val="00863060"/>
    <w:rsid w:val="00864E6F"/>
    <w:rsid w:val="008707F3"/>
    <w:rsid w:val="00873050"/>
    <w:rsid w:val="00874CC8"/>
    <w:rsid w:val="00876BC9"/>
    <w:rsid w:val="00892C30"/>
    <w:rsid w:val="008978F4"/>
    <w:rsid w:val="00897ABB"/>
    <w:rsid w:val="008A10BD"/>
    <w:rsid w:val="008A1F53"/>
    <w:rsid w:val="008A2D80"/>
    <w:rsid w:val="008A4F06"/>
    <w:rsid w:val="008B4B6A"/>
    <w:rsid w:val="008C0AEB"/>
    <w:rsid w:val="008C0DE1"/>
    <w:rsid w:val="008C23E6"/>
    <w:rsid w:val="008D1F82"/>
    <w:rsid w:val="008E5D5E"/>
    <w:rsid w:val="008F4A10"/>
    <w:rsid w:val="008F716D"/>
    <w:rsid w:val="0090298C"/>
    <w:rsid w:val="00904531"/>
    <w:rsid w:val="00906F7D"/>
    <w:rsid w:val="009107EC"/>
    <w:rsid w:val="009149C5"/>
    <w:rsid w:val="00915169"/>
    <w:rsid w:val="009156D3"/>
    <w:rsid w:val="00920F0A"/>
    <w:rsid w:val="009227E6"/>
    <w:rsid w:val="0092440A"/>
    <w:rsid w:val="00934E1E"/>
    <w:rsid w:val="00936F74"/>
    <w:rsid w:val="00944AE8"/>
    <w:rsid w:val="00954676"/>
    <w:rsid w:val="00955836"/>
    <w:rsid w:val="009576E0"/>
    <w:rsid w:val="00957CBA"/>
    <w:rsid w:val="00961CF5"/>
    <w:rsid w:val="00962A5D"/>
    <w:rsid w:val="00964365"/>
    <w:rsid w:val="009654A8"/>
    <w:rsid w:val="00977AD1"/>
    <w:rsid w:val="00981AF3"/>
    <w:rsid w:val="0098227B"/>
    <w:rsid w:val="009838AA"/>
    <w:rsid w:val="009A1943"/>
    <w:rsid w:val="009A650A"/>
    <w:rsid w:val="009B1A20"/>
    <w:rsid w:val="009B60F0"/>
    <w:rsid w:val="009D14F1"/>
    <w:rsid w:val="009D3AFB"/>
    <w:rsid w:val="009D56B2"/>
    <w:rsid w:val="009D59D2"/>
    <w:rsid w:val="009E0056"/>
    <w:rsid w:val="009E2D5D"/>
    <w:rsid w:val="009F2CD2"/>
    <w:rsid w:val="009F5199"/>
    <w:rsid w:val="00A008A4"/>
    <w:rsid w:val="00A00A9E"/>
    <w:rsid w:val="00A0594B"/>
    <w:rsid w:val="00A14E98"/>
    <w:rsid w:val="00A15FCB"/>
    <w:rsid w:val="00A1665E"/>
    <w:rsid w:val="00A2101D"/>
    <w:rsid w:val="00A21A64"/>
    <w:rsid w:val="00A229A8"/>
    <w:rsid w:val="00A26721"/>
    <w:rsid w:val="00A273F4"/>
    <w:rsid w:val="00A3370B"/>
    <w:rsid w:val="00A407DC"/>
    <w:rsid w:val="00A4154B"/>
    <w:rsid w:val="00A418A6"/>
    <w:rsid w:val="00A465AF"/>
    <w:rsid w:val="00A528AE"/>
    <w:rsid w:val="00A53C03"/>
    <w:rsid w:val="00A53D34"/>
    <w:rsid w:val="00A553A7"/>
    <w:rsid w:val="00A565F6"/>
    <w:rsid w:val="00A56B64"/>
    <w:rsid w:val="00A573D6"/>
    <w:rsid w:val="00A57A01"/>
    <w:rsid w:val="00A60537"/>
    <w:rsid w:val="00A60A8B"/>
    <w:rsid w:val="00A625CD"/>
    <w:rsid w:val="00A64646"/>
    <w:rsid w:val="00A657EA"/>
    <w:rsid w:val="00A66BCF"/>
    <w:rsid w:val="00A66C87"/>
    <w:rsid w:val="00A743CE"/>
    <w:rsid w:val="00A81D62"/>
    <w:rsid w:val="00A82091"/>
    <w:rsid w:val="00A85BBC"/>
    <w:rsid w:val="00A90DA1"/>
    <w:rsid w:val="00A9238F"/>
    <w:rsid w:val="00A97377"/>
    <w:rsid w:val="00AA0C56"/>
    <w:rsid w:val="00AA6B9F"/>
    <w:rsid w:val="00AB2814"/>
    <w:rsid w:val="00AB286B"/>
    <w:rsid w:val="00AB37CA"/>
    <w:rsid w:val="00AB45FC"/>
    <w:rsid w:val="00AB4ECD"/>
    <w:rsid w:val="00AB704A"/>
    <w:rsid w:val="00AC2267"/>
    <w:rsid w:val="00AC2BC7"/>
    <w:rsid w:val="00AD381F"/>
    <w:rsid w:val="00AD5510"/>
    <w:rsid w:val="00AF20C6"/>
    <w:rsid w:val="00B00267"/>
    <w:rsid w:val="00B021FC"/>
    <w:rsid w:val="00B02253"/>
    <w:rsid w:val="00B03385"/>
    <w:rsid w:val="00B06224"/>
    <w:rsid w:val="00B225E5"/>
    <w:rsid w:val="00B25188"/>
    <w:rsid w:val="00B258A4"/>
    <w:rsid w:val="00B412EA"/>
    <w:rsid w:val="00B46BF5"/>
    <w:rsid w:val="00B55166"/>
    <w:rsid w:val="00B5620A"/>
    <w:rsid w:val="00B6066A"/>
    <w:rsid w:val="00B71BCA"/>
    <w:rsid w:val="00B76397"/>
    <w:rsid w:val="00B92F8A"/>
    <w:rsid w:val="00BA4519"/>
    <w:rsid w:val="00BA4544"/>
    <w:rsid w:val="00BA74EE"/>
    <w:rsid w:val="00BA7FC9"/>
    <w:rsid w:val="00BB1E99"/>
    <w:rsid w:val="00BB44AE"/>
    <w:rsid w:val="00BB68B8"/>
    <w:rsid w:val="00BB7DA1"/>
    <w:rsid w:val="00BC4199"/>
    <w:rsid w:val="00BD16D2"/>
    <w:rsid w:val="00BF2089"/>
    <w:rsid w:val="00C0214D"/>
    <w:rsid w:val="00C13E89"/>
    <w:rsid w:val="00C27AC6"/>
    <w:rsid w:val="00C341C1"/>
    <w:rsid w:val="00C37C96"/>
    <w:rsid w:val="00C44855"/>
    <w:rsid w:val="00C51546"/>
    <w:rsid w:val="00C60A07"/>
    <w:rsid w:val="00C61720"/>
    <w:rsid w:val="00C80B1D"/>
    <w:rsid w:val="00C82668"/>
    <w:rsid w:val="00C83C62"/>
    <w:rsid w:val="00C86314"/>
    <w:rsid w:val="00C879E8"/>
    <w:rsid w:val="00C92610"/>
    <w:rsid w:val="00C95101"/>
    <w:rsid w:val="00C97558"/>
    <w:rsid w:val="00C97754"/>
    <w:rsid w:val="00C97D6C"/>
    <w:rsid w:val="00C97E26"/>
    <w:rsid w:val="00CA085B"/>
    <w:rsid w:val="00CA71AC"/>
    <w:rsid w:val="00CB0736"/>
    <w:rsid w:val="00CB1EB1"/>
    <w:rsid w:val="00CB3E91"/>
    <w:rsid w:val="00CB56DF"/>
    <w:rsid w:val="00CC4B8D"/>
    <w:rsid w:val="00CC4C6F"/>
    <w:rsid w:val="00CD2C95"/>
    <w:rsid w:val="00CD2ECD"/>
    <w:rsid w:val="00CD32A9"/>
    <w:rsid w:val="00CD334A"/>
    <w:rsid w:val="00CD4D3D"/>
    <w:rsid w:val="00CD5B83"/>
    <w:rsid w:val="00CD6A4D"/>
    <w:rsid w:val="00CE1680"/>
    <w:rsid w:val="00CE3A0D"/>
    <w:rsid w:val="00CE40AA"/>
    <w:rsid w:val="00CE5020"/>
    <w:rsid w:val="00CE59C0"/>
    <w:rsid w:val="00CE65B1"/>
    <w:rsid w:val="00CE7343"/>
    <w:rsid w:val="00CF0685"/>
    <w:rsid w:val="00CF2034"/>
    <w:rsid w:val="00CF75B0"/>
    <w:rsid w:val="00CF7646"/>
    <w:rsid w:val="00D03C70"/>
    <w:rsid w:val="00D10C2E"/>
    <w:rsid w:val="00D167DC"/>
    <w:rsid w:val="00D23471"/>
    <w:rsid w:val="00D3019B"/>
    <w:rsid w:val="00D321C0"/>
    <w:rsid w:val="00D32522"/>
    <w:rsid w:val="00D336D7"/>
    <w:rsid w:val="00D33C7A"/>
    <w:rsid w:val="00D33D5B"/>
    <w:rsid w:val="00D35596"/>
    <w:rsid w:val="00D45195"/>
    <w:rsid w:val="00D4766A"/>
    <w:rsid w:val="00D52FA6"/>
    <w:rsid w:val="00D541EB"/>
    <w:rsid w:val="00D54EE8"/>
    <w:rsid w:val="00D55470"/>
    <w:rsid w:val="00D62278"/>
    <w:rsid w:val="00D62EFD"/>
    <w:rsid w:val="00D64D3D"/>
    <w:rsid w:val="00D70053"/>
    <w:rsid w:val="00D738CB"/>
    <w:rsid w:val="00D73987"/>
    <w:rsid w:val="00D74716"/>
    <w:rsid w:val="00D755BC"/>
    <w:rsid w:val="00D8028F"/>
    <w:rsid w:val="00D816E8"/>
    <w:rsid w:val="00D86735"/>
    <w:rsid w:val="00D91E65"/>
    <w:rsid w:val="00D94BAA"/>
    <w:rsid w:val="00D94DEB"/>
    <w:rsid w:val="00D96466"/>
    <w:rsid w:val="00DA0325"/>
    <w:rsid w:val="00DA5EAD"/>
    <w:rsid w:val="00DB1011"/>
    <w:rsid w:val="00DB48C3"/>
    <w:rsid w:val="00DB7EBF"/>
    <w:rsid w:val="00DC2823"/>
    <w:rsid w:val="00DC4D75"/>
    <w:rsid w:val="00DC79CE"/>
    <w:rsid w:val="00DD2625"/>
    <w:rsid w:val="00DD3B2F"/>
    <w:rsid w:val="00DD4616"/>
    <w:rsid w:val="00DD5215"/>
    <w:rsid w:val="00DF094F"/>
    <w:rsid w:val="00E009B7"/>
    <w:rsid w:val="00E019FA"/>
    <w:rsid w:val="00E0582E"/>
    <w:rsid w:val="00E2501F"/>
    <w:rsid w:val="00E27349"/>
    <w:rsid w:val="00E361BF"/>
    <w:rsid w:val="00E45232"/>
    <w:rsid w:val="00E51387"/>
    <w:rsid w:val="00E51482"/>
    <w:rsid w:val="00E52A3E"/>
    <w:rsid w:val="00E54453"/>
    <w:rsid w:val="00E57D51"/>
    <w:rsid w:val="00E66FF5"/>
    <w:rsid w:val="00E71A44"/>
    <w:rsid w:val="00E846B5"/>
    <w:rsid w:val="00E8774F"/>
    <w:rsid w:val="00E87FA2"/>
    <w:rsid w:val="00E96400"/>
    <w:rsid w:val="00E97C82"/>
    <w:rsid w:val="00EA08FA"/>
    <w:rsid w:val="00EA091E"/>
    <w:rsid w:val="00EA32EE"/>
    <w:rsid w:val="00EA6DCA"/>
    <w:rsid w:val="00EA7104"/>
    <w:rsid w:val="00EB3708"/>
    <w:rsid w:val="00EB3D1B"/>
    <w:rsid w:val="00EB5D61"/>
    <w:rsid w:val="00EC33DC"/>
    <w:rsid w:val="00EC497B"/>
    <w:rsid w:val="00EC4BDD"/>
    <w:rsid w:val="00EC60AD"/>
    <w:rsid w:val="00EC7FB6"/>
    <w:rsid w:val="00ED379F"/>
    <w:rsid w:val="00ED5A8A"/>
    <w:rsid w:val="00ED5C99"/>
    <w:rsid w:val="00ED61B9"/>
    <w:rsid w:val="00ED789A"/>
    <w:rsid w:val="00EE65FF"/>
    <w:rsid w:val="00EF09E5"/>
    <w:rsid w:val="00EF13F6"/>
    <w:rsid w:val="00EF6952"/>
    <w:rsid w:val="00F00DEA"/>
    <w:rsid w:val="00F066CE"/>
    <w:rsid w:val="00F0723E"/>
    <w:rsid w:val="00F11F50"/>
    <w:rsid w:val="00F13949"/>
    <w:rsid w:val="00F13DFD"/>
    <w:rsid w:val="00F22F1C"/>
    <w:rsid w:val="00F24713"/>
    <w:rsid w:val="00F258F6"/>
    <w:rsid w:val="00F31ED2"/>
    <w:rsid w:val="00F34545"/>
    <w:rsid w:val="00F35019"/>
    <w:rsid w:val="00F43C2B"/>
    <w:rsid w:val="00F43E02"/>
    <w:rsid w:val="00F459D7"/>
    <w:rsid w:val="00F45D80"/>
    <w:rsid w:val="00F472B1"/>
    <w:rsid w:val="00F50FB7"/>
    <w:rsid w:val="00F530CE"/>
    <w:rsid w:val="00F53B66"/>
    <w:rsid w:val="00F549ED"/>
    <w:rsid w:val="00F561EC"/>
    <w:rsid w:val="00F575E1"/>
    <w:rsid w:val="00F575F6"/>
    <w:rsid w:val="00F57EFA"/>
    <w:rsid w:val="00F602CF"/>
    <w:rsid w:val="00F604C8"/>
    <w:rsid w:val="00F60C32"/>
    <w:rsid w:val="00F701F9"/>
    <w:rsid w:val="00F77241"/>
    <w:rsid w:val="00F827E7"/>
    <w:rsid w:val="00F84FAD"/>
    <w:rsid w:val="00F8576D"/>
    <w:rsid w:val="00F93BDA"/>
    <w:rsid w:val="00FB116C"/>
    <w:rsid w:val="00FB216A"/>
    <w:rsid w:val="00FB23F9"/>
    <w:rsid w:val="00FB3DCA"/>
    <w:rsid w:val="00FB4F2B"/>
    <w:rsid w:val="00FB6FB7"/>
    <w:rsid w:val="00FC2114"/>
    <w:rsid w:val="00FC2B32"/>
    <w:rsid w:val="00FC4EC1"/>
    <w:rsid w:val="00FC7998"/>
    <w:rsid w:val="00FC7B8E"/>
    <w:rsid w:val="00FD1CE4"/>
    <w:rsid w:val="00FD2110"/>
    <w:rsid w:val="00FD6E5D"/>
    <w:rsid w:val="00FE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53345"/>
  <w15:docId w15:val="{BADFB090-E5A3-446F-8506-F251DC84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630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060"/>
    <w:rPr>
      <w:sz w:val="20"/>
      <w:szCs w:val="20"/>
    </w:rPr>
  </w:style>
  <w:style w:type="character" w:styleId="EndnoteReference">
    <w:name w:val="endnote reference"/>
    <w:basedOn w:val="DefaultParagraphFont"/>
    <w:uiPriority w:val="99"/>
    <w:semiHidden/>
    <w:unhideWhenUsed/>
    <w:rsid w:val="00863060"/>
    <w:rPr>
      <w:vertAlign w:val="superscript"/>
    </w:rPr>
  </w:style>
  <w:style w:type="paragraph" w:styleId="BalloonText">
    <w:name w:val="Balloon Text"/>
    <w:basedOn w:val="Normal"/>
    <w:link w:val="BalloonTextChar"/>
    <w:uiPriority w:val="99"/>
    <w:semiHidden/>
    <w:unhideWhenUsed/>
    <w:rsid w:val="00FC4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EC1"/>
    <w:rPr>
      <w:rFonts w:ascii="Tahoma" w:hAnsi="Tahoma" w:cs="Tahoma"/>
      <w:sz w:val="16"/>
      <w:szCs w:val="16"/>
    </w:rPr>
  </w:style>
  <w:style w:type="paragraph" w:styleId="ListParagraph">
    <w:name w:val="List Paragraph"/>
    <w:basedOn w:val="Normal"/>
    <w:uiPriority w:val="34"/>
    <w:qFormat/>
    <w:rsid w:val="00F701F9"/>
    <w:pPr>
      <w:ind w:left="720"/>
      <w:contextualSpacing/>
    </w:pPr>
  </w:style>
  <w:style w:type="paragraph" w:styleId="Header">
    <w:name w:val="header"/>
    <w:basedOn w:val="Normal"/>
    <w:link w:val="HeaderChar"/>
    <w:uiPriority w:val="99"/>
    <w:unhideWhenUsed/>
    <w:rsid w:val="00F43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2B"/>
  </w:style>
  <w:style w:type="paragraph" w:styleId="Footer">
    <w:name w:val="footer"/>
    <w:basedOn w:val="Normal"/>
    <w:link w:val="FooterChar"/>
    <w:uiPriority w:val="99"/>
    <w:unhideWhenUsed/>
    <w:rsid w:val="00F43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2B"/>
  </w:style>
  <w:style w:type="character" w:customStyle="1" w:styleId="MathematicaFormatStandardForm">
    <w:name w:val="MathematicaFormatStandardForm"/>
    <w:uiPriority w:val="99"/>
    <w:rsid w:val="004076A7"/>
    <w:rPr>
      <w:rFonts w:ascii="Courier" w:hAnsi="Courier" w:cs="Courier"/>
    </w:rPr>
  </w:style>
  <w:style w:type="paragraph" w:styleId="FootnoteText">
    <w:name w:val="footnote text"/>
    <w:basedOn w:val="Normal"/>
    <w:link w:val="FootnoteTextChar"/>
    <w:uiPriority w:val="99"/>
    <w:unhideWhenUsed/>
    <w:rsid w:val="0075503F"/>
    <w:pPr>
      <w:spacing w:after="0" w:line="240" w:lineRule="auto"/>
    </w:pPr>
    <w:rPr>
      <w:sz w:val="20"/>
      <w:szCs w:val="20"/>
    </w:rPr>
  </w:style>
  <w:style w:type="character" w:customStyle="1" w:styleId="FootnoteTextChar">
    <w:name w:val="Footnote Text Char"/>
    <w:basedOn w:val="DefaultParagraphFont"/>
    <w:link w:val="FootnoteText"/>
    <w:uiPriority w:val="99"/>
    <w:rsid w:val="0075503F"/>
    <w:rPr>
      <w:sz w:val="20"/>
      <w:szCs w:val="20"/>
    </w:rPr>
  </w:style>
  <w:style w:type="character" w:styleId="FootnoteReference">
    <w:name w:val="footnote reference"/>
    <w:basedOn w:val="DefaultParagraphFont"/>
    <w:uiPriority w:val="99"/>
    <w:semiHidden/>
    <w:unhideWhenUsed/>
    <w:rsid w:val="0075503F"/>
    <w:rPr>
      <w:vertAlign w:val="superscript"/>
    </w:rPr>
  </w:style>
  <w:style w:type="table" w:styleId="TableGrid">
    <w:name w:val="Table Grid"/>
    <w:basedOn w:val="TableNormal"/>
    <w:uiPriority w:val="59"/>
    <w:rsid w:val="0083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4B6A"/>
    <w:rPr>
      <w:sz w:val="16"/>
      <w:szCs w:val="16"/>
    </w:rPr>
  </w:style>
  <w:style w:type="paragraph" w:styleId="CommentText">
    <w:name w:val="annotation text"/>
    <w:basedOn w:val="Normal"/>
    <w:link w:val="CommentTextChar"/>
    <w:uiPriority w:val="99"/>
    <w:semiHidden/>
    <w:unhideWhenUsed/>
    <w:rsid w:val="008B4B6A"/>
    <w:pPr>
      <w:spacing w:line="240" w:lineRule="auto"/>
    </w:pPr>
    <w:rPr>
      <w:sz w:val="20"/>
      <w:szCs w:val="20"/>
    </w:rPr>
  </w:style>
  <w:style w:type="character" w:customStyle="1" w:styleId="CommentTextChar">
    <w:name w:val="Comment Text Char"/>
    <w:basedOn w:val="DefaultParagraphFont"/>
    <w:link w:val="CommentText"/>
    <w:uiPriority w:val="99"/>
    <w:semiHidden/>
    <w:rsid w:val="008B4B6A"/>
    <w:rPr>
      <w:sz w:val="20"/>
      <w:szCs w:val="20"/>
    </w:rPr>
  </w:style>
  <w:style w:type="paragraph" w:styleId="CommentSubject">
    <w:name w:val="annotation subject"/>
    <w:basedOn w:val="CommentText"/>
    <w:next w:val="CommentText"/>
    <w:link w:val="CommentSubjectChar"/>
    <w:uiPriority w:val="99"/>
    <w:semiHidden/>
    <w:unhideWhenUsed/>
    <w:rsid w:val="008B4B6A"/>
    <w:rPr>
      <w:b/>
      <w:bCs/>
    </w:rPr>
  </w:style>
  <w:style w:type="character" w:customStyle="1" w:styleId="CommentSubjectChar">
    <w:name w:val="Comment Subject Char"/>
    <w:basedOn w:val="CommentTextChar"/>
    <w:link w:val="CommentSubject"/>
    <w:uiPriority w:val="99"/>
    <w:semiHidden/>
    <w:rsid w:val="008B4B6A"/>
    <w:rPr>
      <w:b/>
      <w:bCs/>
      <w:sz w:val="20"/>
      <w:szCs w:val="20"/>
    </w:rPr>
  </w:style>
  <w:style w:type="character" w:customStyle="1" w:styleId="tgc">
    <w:name w:val="_tgc"/>
    <w:basedOn w:val="DefaultParagraphFont"/>
    <w:rsid w:val="00625FAC"/>
  </w:style>
  <w:style w:type="paragraph" w:styleId="Revision">
    <w:name w:val="Revision"/>
    <w:hidden/>
    <w:uiPriority w:val="99"/>
    <w:semiHidden/>
    <w:rsid w:val="007153C0"/>
    <w:pPr>
      <w:spacing w:after="0" w:line="240" w:lineRule="auto"/>
    </w:pPr>
  </w:style>
  <w:style w:type="character" w:styleId="PlaceholderText">
    <w:name w:val="Placeholder Text"/>
    <w:basedOn w:val="DefaultParagraphFont"/>
    <w:uiPriority w:val="99"/>
    <w:semiHidden/>
    <w:rsid w:val="00B06224"/>
    <w:rPr>
      <w:color w:val="808080"/>
    </w:rPr>
  </w:style>
  <w:style w:type="character" w:styleId="Hyperlink">
    <w:name w:val="Hyperlink"/>
    <w:basedOn w:val="DefaultParagraphFont"/>
    <w:uiPriority w:val="99"/>
    <w:unhideWhenUsed/>
    <w:rsid w:val="002F07DF"/>
    <w:rPr>
      <w:color w:val="0000FF" w:themeColor="hyperlink"/>
      <w:u w:val="single"/>
    </w:rPr>
  </w:style>
  <w:style w:type="character" w:styleId="FollowedHyperlink">
    <w:name w:val="FollowedHyperlink"/>
    <w:basedOn w:val="DefaultParagraphFont"/>
    <w:uiPriority w:val="99"/>
    <w:semiHidden/>
    <w:unhideWhenUsed/>
    <w:rsid w:val="00F57E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99874">
      <w:bodyDiv w:val="1"/>
      <w:marLeft w:val="0"/>
      <w:marRight w:val="0"/>
      <w:marTop w:val="0"/>
      <w:marBottom w:val="0"/>
      <w:divBdr>
        <w:top w:val="none" w:sz="0" w:space="0" w:color="auto"/>
        <w:left w:val="none" w:sz="0" w:space="0" w:color="auto"/>
        <w:bottom w:val="none" w:sz="0" w:space="0" w:color="auto"/>
        <w:right w:val="none" w:sz="0" w:space="0" w:color="auto"/>
      </w:divBdr>
    </w:div>
    <w:div w:id="452747651">
      <w:bodyDiv w:val="1"/>
      <w:marLeft w:val="0"/>
      <w:marRight w:val="0"/>
      <w:marTop w:val="0"/>
      <w:marBottom w:val="0"/>
      <w:divBdr>
        <w:top w:val="none" w:sz="0" w:space="0" w:color="auto"/>
        <w:left w:val="none" w:sz="0" w:space="0" w:color="auto"/>
        <w:bottom w:val="none" w:sz="0" w:space="0" w:color="auto"/>
        <w:right w:val="none" w:sz="0" w:space="0" w:color="auto"/>
      </w:divBdr>
    </w:div>
    <w:div w:id="1458334535">
      <w:bodyDiv w:val="1"/>
      <w:marLeft w:val="0"/>
      <w:marRight w:val="0"/>
      <w:marTop w:val="0"/>
      <w:marBottom w:val="0"/>
      <w:divBdr>
        <w:top w:val="none" w:sz="0" w:space="0" w:color="auto"/>
        <w:left w:val="none" w:sz="0" w:space="0" w:color="auto"/>
        <w:bottom w:val="none" w:sz="0" w:space="0" w:color="auto"/>
        <w:right w:val="none" w:sz="0" w:space="0" w:color="auto"/>
      </w:divBdr>
    </w:div>
    <w:div w:id="1704014434">
      <w:bodyDiv w:val="1"/>
      <w:marLeft w:val="0"/>
      <w:marRight w:val="0"/>
      <w:marTop w:val="0"/>
      <w:marBottom w:val="0"/>
      <w:divBdr>
        <w:top w:val="none" w:sz="0" w:space="0" w:color="auto"/>
        <w:left w:val="none" w:sz="0" w:space="0" w:color="auto"/>
        <w:bottom w:val="none" w:sz="0" w:space="0" w:color="auto"/>
        <w:right w:val="none" w:sz="0" w:space="0" w:color="auto"/>
      </w:divBdr>
    </w:div>
    <w:div w:id="1706561483">
      <w:bodyDiv w:val="1"/>
      <w:marLeft w:val="0"/>
      <w:marRight w:val="0"/>
      <w:marTop w:val="0"/>
      <w:marBottom w:val="0"/>
      <w:divBdr>
        <w:top w:val="none" w:sz="0" w:space="0" w:color="auto"/>
        <w:left w:val="none" w:sz="0" w:space="0" w:color="auto"/>
        <w:bottom w:val="none" w:sz="0" w:space="0" w:color="auto"/>
        <w:right w:val="none" w:sz="0" w:space="0" w:color="auto"/>
      </w:divBdr>
    </w:div>
    <w:div w:id="1755513219">
      <w:bodyDiv w:val="1"/>
      <w:marLeft w:val="0"/>
      <w:marRight w:val="0"/>
      <w:marTop w:val="0"/>
      <w:marBottom w:val="0"/>
      <w:divBdr>
        <w:top w:val="none" w:sz="0" w:space="0" w:color="auto"/>
        <w:left w:val="none" w:sz="0" w:space="0" w:color="auto"/>
        <w:bottom w:val="none" w:sz="0" w:space="0" w:color="auto"/>
        <w:right w:val="none" w:sz="0" w:space="0" w:color="auto"/>
      </w:divBdr>
    </w:div>
    <w:div w:id="1805804360">
      <w:bodyDiv w:val="1"/>
      <w:marLeft w:val="0"/>
      <w:marRight w:val="0"/>
      <w:marTop w:val="0"/>
      <w:marBottom w:val="0"/>
      <w:divBdr>
        <w:top w:val="none" w:sz="0" w:space="0" w:color="auto"/>
        <w:left w:val="none" w:sz="0" w:space="0" w:color="auto"/>
        <w:bottom w:val="none" w:sz="0" w:space="0" w:color="auto"/>
        <w:right w:val="none" w:sz="0" w:space="0" w:color="auto"/>
      </w:divBdr>
    </w:div>
    <w:div w:id="1843550360">
      <w:bodyDiv w:val="1"/>
      <w:marLeft w:val="0"/>
      <w:marRight w:val="0"/>
      <w:marTop w:val="0"/>
      <w:marBottom w:val="0"/>
      <w:divBdr>
        <w:top w:val="none" w:sz="0" w:space="0" w:color="auto"/>
        <w:left w:val="none" w:sz="0" w:space="0" w:color="auto"/>
        <w:bottom w:val="none" w:sz="0" w:space="0" w:color="auto"/>
        <w:right w:val="none" w:sz="0" w:space="0" w:color="auto"/>
      </w:divBdr>
    </w:div>
    <w:div w:id="1957056805">
      <w:bodyDiv w:val="1"/>
      <w:marLeft w:val="0"/>
      <w:marRight w:val="0"/>
      <w:marTop w:val="0"/>
      <w:marBottom w:val="0"/>
      <w:divBdr>
        <w:top w:val="none" w:sz="0" w:space="0" w:color="auto"/>
        <w:left w:val="none" w:sz="0" w:space="0" w:color="auto"/>
        <w:bottom w:val="none" w:sz="0" w:space="0" w:color="auto"/>
        <w:right w:val="none" w:sz="0" w:space="0" w:color="auto"/>
      </w:divBdr>
    </w:div>
    <w:div w:id="21327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pps.fcc.gov/edocs_public/attachmatch/DA-14-520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459D4-63F0-4929-AC78-023FB661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AC4697E0.dotm</Template>
  <TotalTime>0</TotalTime>
  <Pages>1</Pages>
  <Words>2295</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 Bennett;Cha-Chi Fan</dc:creator>
  <cp:lastModifiedBy>Cha-Chi Fan</cp:lastModifiedBy>
  <cp:revision>4</cp:revision>
  <cp:lastPrinted>2017-09-25T15:46:00Z</cp:lastPrinted>
  <dcterms:created xsi:type="dcterms:W3CDTF">2017-10-31T17:17:00Z</dcterms:created>
  <dcterms:modified xsi:type="dcterms:W3CDTF">2017-11-03T15:50:00Z</dcterms:modified>
</cp:coreProperties>
</file>