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4743"/>
        <w:gridCol w:w="2391"/>
        <w:gridCol w:w="1669"/>
      </w:tblGrid>
      <w:tr w:rsidR="00DF6653" w:rsidRPr="009B3A2A" w14:paraId="5654DF36" w14:textId="77777777" w:rsidTr="00CD742A">
        <w:trPr>
          <w:trHeight w:val="1509"/>
        </w:trPr>
        <w:tc>
          <w:tcPr>
            <w:tcW w:w="6300" w:type="dxa"/>
            <w:gridSpan w:val="2"/>
          </w:tcPr>
          <w:p w14:paraId="68976665" w14:textId="27FD5391" w:rsidR="00092B9A" w:rsidRPr="00787930" w:rsidRDefault="00A36BD9" w:rsidP="00092B9A">
            <w:pPr>
              <w:rPr>
                <w:b/>
                <w:sz w:val="22"/>
                <w:szCs w:val="22"/>
              </w:rPr>
            </w:pPr>
            <w:r>
              <w:rPr>
                <w:b/>
                <w:sz w:val="22"/>
                <w:szCs w:val="22"/>
              </w:rPr>
              <w:t>41</w:t>
            </w:r>
            <w:r w:rsidR="009762A5">
              <w:rPr>
                <w:b/>
                <w:sz w:val="22"/>
                <w:szCs w:val="22"/>
              </w:rPr>
              <w:t xml:space="preserve"> </w:t>
            </w:r>
            <w:r w:rsidR="00092B9A" w:rsidRPr="00787930">
              <w:rPr>
                <w:b/>
                <w:sz w:val="22"/>
                <w:szCs w:val="22"/>
              </w:rPr>
              <w:t>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2B7109F4" w:rsidR="0084584A" w:rsidRPr="00787930" w:rsidRDefault="00A36BD9" w:rsidP="0084584A">
            <w:pPr>
              <w:rPr>
                <w:b/>
                <w:sz w:val="22"/>
                <w:szCs w:val="22"/>
              </w:rPr>
            </w:pPr>
            <w:r>
              <w:rPr>
                <w:b/>
                <w:sz w:val="22"/>
                <w:szCs w:val="22"/>
              </w:rPr>
              <w:t>May</w:t>
            </w:r>
            <w:r w:rsidR="0084584A">
              <w:rPr>
                <w:b/>
                <w:sz w:val="22"/>
                <w:szCs w:val="22"/>
              </w:rPr>
              <w:t xml:space="preserve"> </w:t>
            </w:r>
            <w:r>
              <w:rPr>
                <w:b/>
                <w:sz w:val="22"/>
                <w:szCs w:val="22"/>
              </w:rPr>
              <w:t>22</w:t>
            </w:r>
            <w:r w:rsidR="0084584A">
              <w:rPr>
                <w:b/>
                <w:sz w:val="22"/>
                <w:szCs w:val="22"/>
              </w:rPr>
              <w:t xml:space="preserve"> to 2</w:t>
            </w:r>
            <w:r>
              <w:rPr>
                <w:b/>
                <w:sz w:val="22"/>
                <w:szCs w:val="22"/>
              </w:rPr>
              <w:t>6</w:t>
            </w:r>
            <w:r w:rsidR="0084584A" w:rsidRPr="00787930">
              <w:rPr>
                <w:b/>
                <w:sz w:val="22"/>
                <w:szCs w:val="22"/>
              </w:rPr>
              <w:t>, 202</w:t>
            </w:r>
            <w:r>
              <w:rPr>
                <w:b/>
                <w:sz w:val="22"/>
                <w:szCs w:val="22"/>
              </w:rPr>
              <w:t>3</w:t>
            </w:r>
          </w:p>
          <w:p w14:paraId="04307E7E" w14:textId="1083D445" w:rsidR="00DF6653" w:rsidRPr="008C70E1" w:rsidRDefault="006E16A4" w:rsidP="0006494B">
            <w:pPr>
              <w:rPr>
                <w:b/>
                <w:iCs/>
                <w:sz w:val="22"/>
                <w:szCs w:val="22"/>
              </w:rPr>
            </w:pPr>
            <w:r w:rsidRPr="008C70E1">
              <w:rPr>
                <w:b/>
                <w:iCs/>
                <w:sz w:val="22"/>
                <w:szCs w:val="22"/>
              </w:rPr>
              <w:t xml:space="preserve">Mexico </w:t>
            </w:r>
            <w:r w:rsidR="008C70E1" w:rsidRPr="008C70E1">
              <w:rPr>
                <w:b/>
                <w:iCs/>
                <w:sz w:val="22"/>
                <w:szCs w:val="22"/>
              </w:rPr>
              <w:t>City, Mexico</w:t>
            </w:r>
          </w:p>
        </w:tc>
        <w:tc>
          <w:tcPr>
            <w:tcW w:w="4060" w:type="dxa"/>
            <w:gridSpan w:val="2"/>
          </w:tcPr>
          <w:p w14:paraId="53715B19" w14:textId="47B19475" w:rsidR="00FA216B" w:rsidRPr="008C70E1" w:rsidRDefault="00FA216B" w:rsidP="009B3A2A">
            <w:pPr>
              <w:rPr>
                <w:b/>
                <w:sz w:val="22"/>
                <w:szCs w:val="22"/>
              </w:rPr>
            </w:pPr>
            <w:r w:rsidRPr="008C70E1">
              <w:rPr>
                <w:b/>
                <w:sz w:val="22"/>
                <w:szCs w:val="22"/>
              </w:rPr>
              <w:t>OEA/</w:t>
            </w:r>
            <w:proofErr w:type="spellStart"/>
            <w:r w:rsidRPr="008C70E1">
              <w:rPr>
                <w:b/>
                <w:sz w:val="22"/>
                <w:szCs w:val="22"/>
              </w:rPr>
              <w:t>Ser.L</w:t>
            </w:r>
            <w:proofErr w:type="spellEnd"/>
            <w:r w:rsidRPr="008C70E1">
              <w:rPr>
                <w:b/>
                <w:sz w:val="22"/>
                <w:szCs w:val="22"/>
              </w:rPr>
              <w:t>/XVII.4.</w:t>
            </w:r>
            <w:r w:rsidR="00092B9A" w:rsidRPr="008C70E1">
              <w:rPr>
                <w:b/>
                <w:sz w:val="22"/>
                <w:szCs w:val="22"/>
              </w:rPr>
              <w:t>2</w:t>
            </w:r>
            <w:r w:rsidR="00B47FB3" w:rsidRPr="008C70E1">
              <w:rPr>
                <w:b/>
                <w:sz w:val="22"/>
                <w:szCs w:val="22"/>
              </w:rPr>
              <w:t>.</w:t>
            </w:r>
            <w:r w:rsidR="00A36BD9">
              <w:rPr>
                <w:b/>
                <w:sz w:val="22"/>
                <w:szCs w:val="22"/>
              </w:rPr>
              <w:t>41</w:t>
            </w:r>
          </w:p>
          <w:p w14:paraId="12740174" w14:textId="001591E5" w:rsidR="008C70E1" w:rsidRDefault="00F41393" w:rsidP="008C70E1">
            <w:pPr>
              <w:rPr>
                <w:b/>
                <w:sz w:val="22"/>
                <w:szCs w:val="22"/>
              </w:rPr>
            </w:pPr>
            <w:r w:rsidRPr="008C70E1">
              <w:rPr>
                <w:b/>
                <w:sz w:val="22"/>
                <w:szCs w:val="22"/>
              </w:rPr>
              <w:t xml:space="preserve">CCP.II-RADIO </w:t>
            </w:r>
            <w:r w:rsidR="00DF6653" w:rsidRPr="008C70E1">
              <w:rPr>
                <w:b/>
                <w:sz w:val="22"/>
                <w:szCs w:val="22"/>
              </w:rPr>
              <w:t>/</w:t>
            </w:r>
            <w:r w:rsidR="00E06311" w:rsidRPr="008C70E1">
              <w:rPr>
                <w:b/>
                <w:sz w:val="22"/>
                <w:szCs w:val="22"/>
              </w:rPr>
              <w:t>doc</w:t>
            </w:r>
            <w:r w:rsidR="00DF6653" w:rsidRPr="008C70E1">
              <w:rPr>
                <w:b/>
                <w:sz w:val="22"/>
                <w:szCs w:val="22"/>
              </w:rPr>
              <w:t xml:space="preserve">. </w:t>
            </w:r>
            <w:r w:rsidR="00B64C14" w:rsidRPr="008C70E1">
              <w:rPr>
                <w:b/>
                <w:sz w:val="22"/>
                <w:szCs w:val="22"/>
                <w:highlight w:val="yellow"/>
              </w:rPr>
              <w:fldChar w:fldCharType="begin"/>
            </w:r>
            <w:r w:rsidR="00B64C14" w:rsidRPr="008C70E1">
              <w:rPr>
                <w:b/>
                <w:sz w:val="22"/>
                <w:szCs w:val="22"/>
                <w:highlight w:val="yellow"/>
              </w:rPr>
              <w:instrText xml:space="preserve"> MACROBUTTON  AcceptAllChangesInDocAndStopTracking "[Doc. No.]" </w:instrText>
            </w:r>
            <w:r w:rsidR="00B64C14" w:rsidRPr="008C70E1">
              <w:rPr>
                <w:b/>
                <w:sz w:val="22"/>
                <w:szCs w:val="22"/>
                <w:highlight w:val="yellow"/>
              </w:rPr>
              <w:fldChar w:fldCharType="end"/>
            </w:r>
            <w:r w:rsidR="00DF6653" w:rsidRPr="008C70E1">
              <w:rPr>
                <w:b/>
                <w:sz w:val="22"/>
                <w:szCs w:val="22"/>
              </w:rPr>
              <w:t>/</w:t>
            </w:r>
            <w:r w:rsidR="0031615C" w:rsidRPr="008C70E1">
              <w:rPr>
                <w:b/>
                <w:sz w:val="22"/>
                <w:szCs w:val="22"/>
              </w:rPr>
              <w:t>2</w:t>
            </w:r>
            <w:r w:rsidR="00A36BD9">
              <w:rPr>
                <w:b/>
                <w:sz w:val="22"/>
                <w:szCs w:val="22"/>
              </w:rPr>
              <w:t>3</w:t>
            </w:r>
          </w:p>
          <w:p w14:paraId="508E4034" w14:textId="1C977026" w:rsidR="008C70E1" w:rsidRDefault="008C70E1" w:rsidP="008C70E1">
            <w:pPr>
              <w:rPr>
                <w:b/>
                <w:sz w:val="22"/>
                <w:szCs w:val="22"/>
              </w:rPr>
            </w:pPr>
            <w:r>
              <w:rPr>
                <w:b/>
                <w:sz w:val="22"/>
                <w:szCs w:val="22"/>
              </w:rPr>
              <w:t>0</w:t>
            </w:r>
            <w:r w:rsidR="00A36BD9">
              <w:rPr>
                <w:b/>
                <w:sz w:val="22"/>
                <w:szCs w:val="22"/>
              </w:rPr>
              <w:t>1</w:t>
            </w:r>
            <w:r>
              <w:rPr>
                <w:b/>
                <w:sz w:val="22"/>
                <w:szCs w:val="22"/>
              </w:rPr>
              <w:t xml:space="preserve"> </w:t>
            </w:r>
            <w:r w:rsidR="00A36BD9">
              <w:rPr>
                <w:b/>
                <w:sz w:val="22"/>
                <w:szCs w:val="22"/>
              </w:rPr>
              <w:t>May</w:t>
            </w:r>
            <w:r>
              <w:rPr>
                <w:b/>
                <w:sz w:val="22"/>
                <w:szCs w:val="22"/>
              </w:rPr>
              <w:t xml:space="preserve"> 202</w:t>
            </w:r>
            <w:r w:rsidR="00A36BD9">
              <w:rPr>
                <w:b/>
                <w:sz w:val="22"/>
                <w:szCs w:val="22"/>
              </w:rPr>
              <w:t>3</w:t>
            </w:r>
          </w:p>
          <w:p w14:paraId="35D56372" w14:textId="5B45F52E" w:rsidR="00DF6653" w:rsidRPr="008264D0" w:rsidRDefault="00DF6653" w:rsidP="008C70E1">
            <w:pPr>
              <w:rPr>
                <w:b/>
                <w:sz w:val="22"/>
                <w:szCs w:val="22"/>
              </w:rPr>
            </w:pPr>
            <w:r w:rsidRPr="008C70E1">
              <w:rPr>
                <w:b/>
                <w:sz w:val="22"/>
                <w:szCs w:val="22"/>
              </w:rPr>
              <w:t xml:space="preserve">Original: </w:t>
            </w:r>
            <w:r w:rsidR="009E4C27">
              <w:rPr>
                <w:b/>
                <w:sz w:val="22"/>
                <w:szCs w:val="22"/>
              </w:rPr>
              <w:t>English</w:t>
            </w:r>
          </w:p>
        </w:tc>
      </w:tr>
      <w:tr w:rsidR="00DF6653" w14:paraId="35B70C3F" w14:textId="77777777" w:rsidTr="009E64C9">
        <w:trPr>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9E64C9">
        <w:trPr>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36C4D3CC"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01909043" w14:textId="4AA3F5B9" w:rsidR="00DF6653" w:rsidRPr="00C148DD" w:rsidRDefault="009B1450">
            <w:pPr>
              <w:spacing w:before="120"/>
              <w:jc w:val="center"/>
              <w:rPr>
                <w:b/>
                <w:caps/>
                <w:sz w:val="24"/>
                <w:szCs w:val="24"/>
              </w:rPr>
            </w:pPr>
            <w:r>
              <w:rPr>
                <w:b/>
                <w:caps/>
                <w:sz w:val="24"/>
                <w:szCs w:val="24"/>
              </w:rPr>
              <w:t>AGENDA ITEM 9.1 Topic B</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9E64C9">
        <w:trPr>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718AEB4C" w:rsidR="00DF6653" w:rsidRPr="00C148DD" w:rsidRDefault="00DF6653" w:rsidP="00620569">
            <w:pPr>
              <w:spacing w:before="120"/>
              <w:jc w:val="center"/>
              <w:rPr>
                <w:b/>
                <w:sz w:val="24"/>
                <w:szCs w:val="24"/>
              </w:rPr>
            </w:pPr>
            <w:r w:rsidRPr="00C148DD">
              <w:rPr>
                <w:b/>
                <w:sz w:val="24"/>
                <w:szCs w:val="24"/>
              </w:rPr>
              <w:t xml:space="preserve">(Item on the Agenda: </w:t>
            </w:r>
            <w:r w:rsidR="009B1450">
              <w:rPr>
                <w:b/>
                <w:sz w:val="24"/>
                <w:szCs w:val="24"/>
                <w:lang w:val="es-UY"/>
              </w:rPr>
              <w:t>3.1 (SGT-5)</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9E64C9">
        <w:trPr>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08CF7FD2" w:rsidR="00DF6653" w:rsidRPr="00C148DD" w:rsidRDefault="00DF6653" w:rsidP="005962C2">
            <w:pPr>
              <w:spacing w:before="120"/>
              <w:jc w:val="center"/>
              <w:rPr>
                <w:b/>
                <w:sz w:val="24"/>
                <w:szCs w:val="24"/>
              </w:rPr>
            </w:pPr>
            <w:r w:rsidRPr="00C148DD">
              <w:rPr>
                <w:b/>
                <w:sz w:val="24"/>
                <w:szCs w:val="24"/>
                <w:lang w:val="es-UY"/>
              </w:rPr>
              <w:t xml:space="preserve">(Document submitted by </w:t>
            </w:r>
            <w:r w:rsidR="009E4C27">
              <w:rPr>
                <w:b/>
                <w:sz w:val="24"/>
                <w:szCs w:val="24"/>
                <w:lang w:val="es-UY"/>
              </w:rPr>
              <w:t xml:space="preserve">the </w:t>
            </w:r>
            <w:r w:rsidR="00C25390">
              <w:rPr>
                <w:b/>
                <w:sz w:val="24"/>
                <w:szCs w:val="24"/>
                <w:lang w:val="es-UY"/>
              </w:rPr>
              <w:t xml:space="preserve">administration of </w:t>
            </w:r>
            <w:proofErr w:type="spellStart"/>
            <w:r w:rsidR="00C25390">
              <w:rPr>
                <w:b/>
                <w:sz w:val="24"/>
                <w:szCs w:val="24"/>
                <w:lang w:val="es-UY"/>
              </w:rPr>
              <w:t>the</w:t>
            </w:r>
            <w:proofErr w:type="spellEnd"/>
            <w:r w:rsidR="00C25390">
              <w:rPr>
                <w:b/>
                <w:sz w:val="24"/>
                <w:szCs w:val="24"/>
                <w:lang w:val="es-UY"/>
              </w:rPr>
              <w:t xml:space="preserve"> United States</w:t>
            </w:r>
            <w:r w:rsidR="008F4797">
              <w:rPr>
                <w:b/>
                <w:sz w:val="24"/>
                <w:szCs w:val="24"/>
                <w:lang w:val="es-UY"/>
              </w:rPr>
              <w:t xml:space="preserve"> of </w:t>
            </w:r>
            <w:proofErr w:type="spellStart"/>
            <w:r w:rsidR="008F4797">
              <w:rPr>
                <w:b/>
                <w:sz w:val="24"/>
                <w:szCs w:val="24"/>
                <w:lang w:val="es-UY"/>
              </w:rPr>
              <w:t>America</w:t>
            </w:r>
            <w:proofErr w:type="spellEnd"/>
            <w:r w:rsidR="005962C2" w:rsidRPr="00C148DD">
              <w:rPr>
                <w:b/>
                <w:sz w:val="24"/>
                <w:szCs w:val="24"/>
                <w:lang w:val="es-UY"/>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" filled="f" stroked="f">
                <v:textbo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1EAFEC61">
                <wp:simplePos x="0" y="0"/>
                <wp:positionH relativeFrom="page">
                  <wp:posOffset>800100</wp:posOffset>
                </wp:positionH>
                <wp:positionV relativeFrom="paragraph">
                  <wp:posOffset>274955</wp:posOffset>
                </wp:positionV>
                <wp:extent cx="6285865" cy="24003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56F3" w14:textId="039B2AE1" w:rsidR="009B1450" w:rsidRPr="00221C84" w:rsidRDefault="009B1450" w:rsidP="009B1450">
                            <w:pPr>
                              <w:pBdr>
                                <w:top w:val="single" w:sz="24" w:space="8" w:color="5B9BD5"/>
                                <w:bottom w:val="single" w:sz="24" w:space="8" w:color="5B9BD5"/>
                              </w:pBdr>
                              <w:rPr>
                                <w:b/>
                                <w:bCs/>
                                <w:iCs/>
                                <w:sz w:val="22"/>
                                <w:szCs w:val="22"/>
                              </w:rPr>
                            </w:pPr>
                            <w:r w:rsidRPr="001B4D36">
                              <w:rPr>
                                <w:iCs/>
                                <w:sz w:val="22"/>
                                <w:szCs w:val="22"/>
                              </w:rPr>
                              <w:t xml:space="preserve">This contribution </w:t>
                            </w:r>
                            <w:r>
                              <w:rPr>
                                <w:iCs/>
                                <w:sz w:val="22"/>
                                <w:szCs w:val="22"/>
                              </w:rPr>
                              <w:t xml:space="preserve">is a preliminary proposal </w:t>
                            </w:r>
                            <w:r w:rsidRPr="001B4D36">
                              <w:rPr>
                                <w:iCs/>
                                <w:sz w:val="22"/>
                                <w:szCs w:val="22"/>
                              </w:rPr>
                              <w:t>in relation to</w:t>
                            </w:r>
                            <w:r>
                              <w:rPr>
                                <w:iCs/>
                                <w:sz w:val="22"/>
                                <w:szCs w:val="22"/>
                              </w:rPr>
                              <w:t xml:space="preserve"> WRC-23 agenda item 9.1 Topic B.  </w:t>
                            </w:r>
                            <w:r w:rsidRPr="001B4D36">
                              <w:rPr>
                                <w:iCs/>
                                <w:sz w:val="22"/>
                                <w:szCs w:val="22"/>
                              </w:rPr>
                              <w:t xml:space="preserve"> Th</w:t>
                            </w:r>
                            <w:r>
                              <w:rPr>
                                <w:iCs/>
                                <w:sz w:val="22"/>
                                <w:szCs w:val="22"/>
                              </w:rPr>
                              <w:t xml:space="preserve">e United States proposes that a </w:t>
                            </w:r>
                            <w:r>
                              <w:rPr>
                                <w:sz w:val="22"/>
                                <w:szCs w:val="22"/>
                              </w:rPr>
                              <w:t>No</w:t>
                            </w:r>
                            <w:r w:rsidRPr="009B1450">
                              <w:rPr>
                                <w:sz w:val="22"/>
                                <w:szCs w:val="22"/>
                              </w:rPr>
                              <w:t xml:space="preserve"> </w:t>
                            </w:r>
                            <w:r>
                              <w:rPr>
                                <w:sz w:val="22"/>
                                <w:szCs w:val="22"/>
                              </w:rPr>
                              <w:t>Change</w:t>
                            </w:r>
                            <w:r w:rsidRPr="009B1450">
                              <w:rPr>
                                <w:sz w:val="22"/>
                                <w:szCs w:val="22"/>
                              </w:rPr>
                              <w:t xml:space="preserve"> to the Radio Regulations should be made under Agenda item 9.1</w:t>
                            </w:r>
                            <w:r w:rsidR="009E4C27">
                              <w:rPr>
                                <w:sz w:val="22"/>
                                <w:szCs w:val="22"/>
                              </w:rPr>
                              <w:t xml:space="preserve"> Topic B</w:t>
                            </w:r>
                            <w:r w:rsidRPr="009B1450">
                              <w:rPr>
                                <w:sz w:val="22"/>
                                <w:szCs w:val="22"/>
                              </w:rPr>
                              <w:t xml:space="preserve"> </w:t>
                            </w:r>
                            <w:r w:rsidR="00F406CC">
                              <w:rPr>
                                <w:sz w:val="22"/>
                                <w:szCs w:val="22"/>
                              </w:rPr>
                              <w:t>and suppression of Resolution 774 (</w:t>
                            </w:r>
                            <w:r w:rsidR="00F406CC" w:rsidRPr="00F406CC">
                              <w:rPr>
                                <w:b/>
                                <w:bCs/>
                                <w:sz w:val="22"/>
                                <w:szCs w:val="22"/>
                              </w:rPr>
                              <w:t>WRC-19)</w:t>
                            </w:r>
                            <w:r w:rsidR="00F406CC">
                              <w:rPr>
                                <w:sz w:val="22"/>
                                <w:szCs w:val="22"/>
                              </w:rPr>
                              <w:t>.</w:t>
                            </w:r>
                            <w:r>
                              <w:rPr>
                                <w:sz w:val="22"/>
                                <w:szCs w:val="22"/>
                              </w:rPr>
                              <w:t xml:space="preserve"> </w:t>
                            </w:r>
                            <w:r w:rsidR="00F406CC">
                              <w:rPr>
                                <w:sz w:val="22"/>
                                <w:szCs w:val="22"/>
                              </w:rPr>
                              <w:t>A</w:t>
                            </w:r>
                            <w:r w:rsidRPr="009B1450">
                              <w:rPr>
                                <w:sz w:val="22"/>
                                <w:szCs w:val="22"/>
                              </w:rPr>
                              <w:t>dministrations are encouraged to take into account ITU-R Reports/Recommendations under development on how the amateur allocation can coexist with primary services in the 1240 – 1300 MHz band</w:t>
                            </w:r>
                            <w:r>
                              <w:rPr>
                                <w:iCs/>
                                <w:sz w:val="22"/>
                                <w:szCs w:val="22"/>
                              </w:rPr>
                              <w:t xml:space="preserve"> </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E30D7" id="_x0000_t202" coordsize="21600,21600" o:spt="202" path="m,l,21600r21600,l21600,xe">
                <v:stroke joinstyle="miter"/>
                <v:path gradientshapeok="t" o:connecttype="rect"/>
              </v:shapetype>
              <v:shape id="_x0000_s1027" type="#_x0000_t202" style="position:absolute;margin-left:63pt;margin-top:21.65pt;width:494.95pt;height:189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" filled="f" stroked="f">
                <v:textbox>
                  <w:txbxContent>
                    <w:p w14:paraId="28D656F3" w14:textId="039B2AE1" w:rsidR="009B1450" w:rsidRPr="00221C84" w:rsidRDefault="009B1450" w:rsidP="009B1450">
                      <w:pPr>
                        <w:pBdr>
                          <w:top w:val="single" w:sz="24" w:space="8" w:color="5B9BD5"/>
                          <w:bottom w:val="single" w:sz="24" w:space="8" w:color="5B9BD5"/>
                        </w:pBdr>
                        <w:rPr>
                          <w:b/>
                          <w:bCs/>
                          <w:iCs/>
                          <w:sz w:val="22"/>
                          <w:szCs w:val="22"/>
                        </w:rPr>
                      </w:pPr>
                      <w:r w:rsidRPr="001B4D36">
                        <w:rPr>
                          <w:iCs/>
                          <w:sz w:val="22"/>
                          <w:szCs w:val="22"/>
                        </w:rPr>
                        <w:t xml:space="preserve">This contribution </w:t>
                      </w:r>
                      <w:r>
                        <w:rPr>
                          <w:iCs/>
                          <w:sz w:val="22"/>
                          <w:szCs w:val="22"/>
                        </w:rPr>
                        <w:t xml:space="preserve">is a preliminary proposal </w:t>
                      </w:r>
                      <w:r w:rsidRPr="001B4D36">
                        <w:rPr>
                          <w:iCs/>
                          <w:sz w:val="22"/>
                          <w:szCs w:val="22"/>
                        </w:rPr>
                        <w:t>in relation to</w:t>
                      </w:r>
                      <w:r>
                        <w:rPr>
                          <w:iCs/>
                          <w:sz w:val="22"/>
                          <w:szCs w:val="22"/>
                        </w:rPr>
                        <w:t xml:space="preserve"> WRC-23 agenda item 9.1 Topic B.  </w:t>
                      </w:r>
                      <w:r w:rsidRPr="001B4D36">
                        <w:rPr>
                          <w:iCs/>
                          <w:sz w:val="22"/>
                          <w:szCs w:val="22"/>
                        </w:rPr>
                        <w:t xml:space="preserve"> Th</w:t>
                      </w:r>
                      <w:r>
                        <w:rPr>
                          <w:iCs/>
                          <w:sz w:val="22"/>
                          <w:szCs w:val="22"/>
                        </w:rPr>
                        <w:t xml:space="preserve">e United States proposes that a </w:t>
                      </w:r>
                      <w:r>
                        <w:rPr>
                          <w:sz w:val="22"/>
                          <w:szCs w:val="22"/>
                        </w:rPr>
                        <w:t>No</w:t>
                      </w:r>
                      <w:r w:rsidRPr="009B1450">
                        <w:rPr>
                          <w:sz w:val="22"/>
                          <w:szCs w:val="22"/>
                        </w:rPr>
                        <w:t xml:space="preserve"> </w:t>
                      </w:r>
                      <w:r>
                        <w:rPr>
                          <w:sz w:val="22"/>
                          <w:szCs w:val="22"/>
                        </w:rPr>
                        <w:t>Change</w:t>
                      </w:r>
                      <w:r w:rsidRPr="009B1450">
                        <w:rPr>
                          <w:sz w:val="22"/>
                          <w:szCs w:val="22"/>
                        </w:rPr>
                        <w:t xml:space="preserve"> to the Radio Regulations should be made under Agenda item 9.1</w:t>
                      </w:r>
                      <w:r w:rsidR="009E4C27">
                        <w:rPr>
                          <w:sz w:val="22"/>
                          <w:szCs w:val="22"/>
                        </w:rPr>
                        <w:t xml:space="preserve"> Topic B</w:t>
                      </w:r>
                      <w:r w:rsidRPr="009B1450">
                        <w:rPr>
                          <w:sz w:val="22"/>
                          <w:szCs w:val="22"/>
                        </w:rPr>
                        <w:t xml:space="preserve"> </w:t>
                      </w:r>
                      <w:r w:rsidR="00F406CC">
                        <w:rPr>
                          <w:sz w:val="22"/>
                          <w:szCs w:val="22"/>
                        </w:rPr>
                        <w:t>and suppression of Resolution 774 (</w:t>
                      </w:r>
                      <w:r w:rsidR="00F406CC" w:rsidRPr="00F406CC">
                        <w:rPr>
                          <w:b/>
                          <w:bCs/>
                          <w:sz w:val="22"/>
                          <w:szCs w:val="22"/>
                        </w:rPr>
                        <w:t>WRC-19)</w:t>
                      </w:r>
                      <w:r w:rsidR="00F406CC">
                        <w:rPr>
                          <w:sz w:val="22"/>
                          <w:szCs w:val="22"/>
                        </w:rPr>
                        <w:t>.</w:t>
                      </w:r>
                      <w:r>
                        <w:rPr>
                          <w:sz w:val="22"/>
                          <w:szCs w:val="22"/>
                        </w:rPr>
                        <w:t xml:space="preserve"> </w:t>
                      </w:r>
                      <w:r w:rsidR="00F406CC">
                        <w:rPr>
                          <w:sz w:val="22"/>
                          <w:szCs w:val="22"/>
                        </w:rPr>
                        <w:t>A</w:t>
                      </w:r>
                      <w:r w:rsidRPr="009B1450">
                        <w:rPr>
                          <w:sz w:val="22"/>
                          <w:szCs w:val="22"/>
                        </w:rPr>
                        <w:t>dministrations are encouraged to take into account ITU-R Reports/Recommendations under development on how the amateur allocation can coexist with primary services in the 1240 – 1300 MHz band</w:t>
                      </w:r>
                      <w:r>
                        <w:rPr>
                          <w:iCs/>
                          <w:sz w:val="22"/>
                          <w:szCs w:val="22"/>
                        </w:rPr>
                        <w:t xml:space="preserve"> </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v:textbox>
                <w10:wrap type="topAndBottom" anchorx="page"/>
              </v:shape>
            </w:pict>
          </mc:Fallback>
        </mc:AlternateContent>
      </w:r>
      <w:r w:rsidR="00620569" w:rsidRPr="0031615C">
        <w:rPr>
          <w:b/>
          <w:sz w:val="22"/>
        </w:rPr>
        <w:t xml:space="preserve">Executive Summary: </w:t>
      </w:r>
    </w:p>
    <w:p w14:paraId="41FA9369" w14:textId="4E863C7F" w:rsidR="004566B8" w:rsidRDefault="004566B8" w:rsidP="00EE3CD2">
      <w:pPr>
        <w:rPr>
          <w:sz w:val="24"/>
        </w:rPr>
      </w:pPr>
      <w:r>
        <w:rPr>
          <w:sz w:val="24"/>
        </w:rPr>
        <w:br w:type="page"/>
      </w:r>
    </w:p>
    <w:p w14:paraId="2FC09DEA"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lastRenderedPageBreak/>
        <w:t>UNITED STATES OF AMERICA</w:t>
      </w:r>
    </w:p>
    <w:p w14:paraId="0B76D56E" w14:textId="77777777" w:rsidR="009B1450" w:rsidRPr="009B1450" w:rsidRDefault="009B1450" w:rsidP="009B1450">
      <w:pPr>
        <w:widowControl w:val="0"/>
        <w:autoSpaceDE w:val="0"/>
        <w:autoSpaceDN w:val="0"/>
        <w:adjustRightInd w:val="0"/>
        <w:rPr>
          <w:sz w:val="22"/>
          <w:szCs w:val="22"/>
        </w:rPr>
      </w:pPr>
    </w:p>
    <w:p w14:paraId="68E69202" w14:textId="5E200063"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707C47A4" w14:textId="77777777" w:rsidR="009B1450" w:rsidRPr="009B1450" w:rsidRDefault="009B1450" w:rsidP="009B1450">
      <w:pPr>
        <w:widowControl w:val="0"/>
        <w:autoSpaceDE w:val="0"/>
        <w:autoSpaceDN w:val="0"/>
        <w:adjustRightInd w:val="0"/>
        <w:rPr>
          <w:sz w:val="22"/>
          <w:szCs w:val="22"/>
        </w:rPr>
      </w:pPr>
    </w:p>
    <w:p w14:paraId="6AD55483" w14:textId="77777777" w:rsidR="009B1450" w:rsidRPr="009B1450" w:rsidRDefault="009B1450" w:rsidP="009B1450">
      <w:pPr>
        <w:widowControl w:val="0"/>
        <w:tabs>
          <w:tab w:val="left" w:pos="6576"/>
        </w:tabs>
        <w:autoSpaceDE w:val="0"/>
        <w:autoSpaceDN w:val="0"/>
        <w:adjustRightInd w:val="0"/>
        <w:rPr>
          <w:sz w:val="22"/>
          <w:szCs w:val="22"/>
        </w:rPr>
      </w:pPr>
      <w:r w:rsidRPr="009B1450">
        <w:rPr>
          <w:sz w:val="22"/>
          <w:szCs w:val="22"/>
        </w:rPr>
        <w:tab/>
      </w:r>
    </w:p>
    <w:p w14:paraId="15182233" w14:textId="054B10C0" w:rsidR="009B1450" w:rsidRPr="009B1450" w:rsidRDefault="009B1450" w:rsidP="009B1450">
      <w:pPr>
        <w:widowControl w:val="0"/>
        <w:overflowPunct w:val="0"/>
        <w:autoSpaceDE w:val="0"/>
        <w:autoSpaceDN w:val="0"/>
        <w:adjustRightInd w:val="0"/>
        <w:ind w:right="440"/>
        <w:rPr>
          <w:sz w:val="22"/>
          <w:szCs w:val="22"/>
        </w:rPr>
      </w:pPr>
      <w:r w:rsidRPr="009B1450">
        <w:rPr>
          <w:b/>
          <w:bCs/>
          <w:sz w:val="22"/>
          <w:szCs w:val="22"/>
        </w:rPr>
        <w:t>Agenda Item 9.1 b)</w:t>
      </w:r>
      <w:r w:rsidRPr="009B1450">
        <w:rPr>
          <w:sz w:val="22"/>
          <w:szCs w:val="22"/>
        </w:rPr>
        <w:t xml:space="preserve">: </w:t>
      </w:r>
      <w:r w:rsidRPr="009B1450">
        <w:rPr>
          <w:i/>
          <w:sz w:val="22"/>
          <w:szCs w:val="22"/>
          <w:shd w:val="clear" w:color="auto" w:fill="FFFFFF"/>
        </w:rPr>
        <w:t>Review of the amateur service and the amateur-satellite service allocations in the frequency band 1 240 1 300 MHz to determine if additional measures are required to ensure protection of the radionavigation-satellite (space-to-Earth) service operating in the same band in accordance with Resolution</w:t>
      </w:r>
      <w:r w:rsidRPr="009B1450">
        <w:rPr>
          <w:rStyle w:val="Strong"/>
          <w:i/>
          <w:sz w:val="22"/>
          <w:szCs w:val="22"/>
          <w:bdr w:val="none" w:sz="0" w:space="0" w:color="auto" w:frame="1"/>
          <w:shd w:val="clear" w:color="auto" w:fill="FFFFFF"/>
        </w:rPr>
        <w:t> 774 (WRC-19)</w:t>
      </w:r>
    </w:p>
    <w:p w14:paraId="59E4B4B3" w14:textId="77777777" w:rsidR="009B1450" w:rsidRPr="009B1450" w:rsidRDefault="009B1450" w:rsidP="009B1450">
      <w:pPr>
        <w:widowControl w:val="0"/>
        <w:autoSpaceDE w:val="0"/>
        <w:autoSpaceDN w:val="0"/>
        <w:adjustRightInd w:val="0"/>
        <w:rPr>
          <w:sz w:val="22"/>
          <w:szCs w:val="22"/>
        </w:rPr>
      </w:pPr>
    </w:p>
    <w:p w14:paraId="35F51D61" w14:textId="77777777" w:rsidR="009B1450" w:rsidRPr="009B1450" w:rsidRDefault="009B1450" w:rsidP="009B1450">
      <w:pPr>
        <w:widowControl w:val="0"/>
        <w:autoSpaceDE w:val="0"/>
        <w:autoSpaceDN w:val="0"/>
        <w:adjustRightInd w:val="0"/>
        <w:rPr>
          <w:sz w:val="22"/>
          <w:szCs w:val="22"/>
        </w:rPr>
      </w:pPr>
    </w:p>
    <w:p w14:paraId="1774F0BA" w14:textId="77777777" w:rsidR="009B1450" w:rsidRPr="009B1450" w:rsidRDefault="009B1450" w:rsidP="009B1450">
      <w:pPr>
        <w:autoSpaceDE w:val="0"/>
        <w:autoSpaceDN w:val="0"/>
        <w:adjustRightInd w:val="0"/>
        <w:rPr>
          <w:sz w:val="22"/>
          <w:szCs w:val="22"/>
        </w:rPr>
      </w:pPr>
      <w:r w:rsidRPr="009B1450">
        <w:rPr>
          <w:b/>
          <w:bCs/>
          <w:sz w:val="22"/>
          <w:szCs w:val="22"/>
        </w:rPr>
        <w:t>Background</w:t>
      </w:r>
      <w:r w:rsidRPr="009B1450">
        <w:rPr>
          <w:sz w:val="22"/>
          <w:szCs w:val="22"/>
        </w:rPr>
        <w:t xml:space="preserve">:  </w:t>
      </w:r>
    </w:p>
    <w:p w14:paraId="7C43C4EA" w14:textId="77777777" w:rsidR="009B1450" w:rsidRPr="009B1450" w:rsidRDefault="009B1450" w:rsidP="009B1450">
      <w:pPr>
        <w:rPr>
          <w:sz w:val="22"/>
          <w:szCs w:val="22"/>
        </w:rPr>
      </w:pPr>
    </w:p>
    <w:p w14:paraId="4EE651CC" w14:textId="77777777" w:rsidR="009B1450" w:rsidRPr="009B1450" w:rsidRDefault="009B1450" w:rsidP="009B1450">
      <w:pPr>
        <w:rPr>
          <w:i/>
          <w:iCs/>
          <w:sz w:val="22"/>
          <w:szCs w:val="22"/>
        </w:rPr>
      </w:pPr>
      <w:r w:rsidRPr="009B1450">
        <w:rPr>
          <w:sz w:val="22"/>
          <w:szCs w:val="22"/>
        </w:rPr>
        <w:t xml:space="preserve">Resolution </w:t>
      </w:r>
      <w:r w:rsidRPr="009B1450">
        <w:rPr>
          <w:b/>
          <w:bCs/>
          <w:sz w:val="22"/>
          <w:szCs w:val="22"/>
        </w:rPr>
        <w:t>774 (WRC-19)</w:t>
      </w:r>
      <w:r w:rsidRPr="009B1450">
        <w:rPr>
          <w:sz w:val="22"/>
          <w:szCs w:val="22"/>
        </w:rPr>
        <w:t xml:space="preserve"> </w:t>
      </w:r>
      <w:r w:rsidRPr="009B1450">
        <w:rPr>
          <w:i/>
          <w:iCs/>
          <w:sz w:val="22"/>
          <w:szCs w:val="22"/>
        </w:rPr>
        <w:t>resolves to invite the ITU Radiocommunication Sector:</w:t>
      </w:r>
    </w:p>
    <w:p w14:paraId="74DCE4A2" w14:textId="77777777" w:rsidR="009B1450" w:rsidRPr="009B1450" w:rsidRDefault="009B1450" w:rsidP="009B1450">
      <w:pPr>
        <w:rPr>
          <w:i/>
          <w:iCs/>
          <w:sz w:val="22"/>
          <w:szCs w:val="22"/>
        </w:rPr>
      </w:pPr>
    </w:p>
    <w:p w14:paraId="593C1FC6" w14:textId="77777777" w:rsidR="009B1450" w:rsidRPr="009B1450" w:rsidRDefault="009B1450" w:rsidP="009B1450">
      <w:pPr>
        <w:rPr>
          <w:i/>
          <w:iCs/>
          <w:sz w:val="22"/>
          <w:szCs w:val="22"/>
        </w:rPr>
      </w:pPr>
      <w:r w:rsidRPr="009B1450">
        <w:rPr>
          <w:i/>
          <w:iCs/>
          <w:sz w:val="22"/>
          <w:szCs w:val="22"/>
        </w:rPr>
        <w:t xml:space="preserve">“1 </w:t>
      </w:r>
      <w:r w:rsidRPr="009B1450">
        <w:rPr>
          <w:i/>
          <w:iCs/>
          <w:sz w:val="22"/>
          <w:szCs w:val="22"/>
        </w:rPr>
        <w:tab/>
        <w:t xml:space="preserve">to perform a detailed review of the different systems and applications used in the amateur service and amateur-satellite service allocations in the frequency band 1 240-1 300 </w:t>
      </w:r>
      <w:proofErr w:type="gramStart"/>
      <w:r w:rsidRPr="009B1450">
        <w:rPr>
          <w:i/>
          <w:iCs/>
          <w:sz w:val="22"/>
          <w:szCs w:val="22"/>
        </w:rPr>
        <w:t>MHz;</w:t>
      </w:r>
      <w:proofErr w:type="gramEnd"/>
    </w:p>
    <w:p w14:paraId="729BD1C2" w14:textId="77777777" w:rsidR="009B1450" w:rsidRPr="009B1450" w:rsidRDefault="009B1450" w:rsidP="009B1450">
      <w:pPr>
        <w:rPr>
          <w:i/>
          <w:iCs/>
          <w:sz w:val="22"/>
          <w:szCs w:val="22"/>
        </w:rPr>
      </w:pPr>
    </w:p>
    <w:p w14:paraId="5ECAEFB8" w14:textId="77777777" w:rsidR="009B1450" w:rsidRPr="009B1450" w:rsidRDefault="009B1450" w:rsidP="009B1450">
      <w:pPr>
        <w:rPr>
          <w:i/>
          <w:sz w:val="22"/>
          <w:szCs w:val="22"/>
        </w:rPr>
      </w:pPr>
      <w:r w:rsidRPr="009B1450">
        <w:rPr>
          <w:i/>
          <w:iCs/>
          <w:sz w:val="22"/>
          <w:szCs w:val="22"/>
        </w:rPr>
        <w:t xml:space="preserve">2 </w:t>
      </w:r>
      <w:r w:rsidRPr="009B1450">
        <w:rPr>
          <w:i/>
          <w:iCs/>
          <w:sz w:val="22"/>
          <w:szCs w:val="22"/>
        </w:rPr>
        <w:tab/>
      </w:r>
      <w:proofErr w:type="gramStart"/>
      <w:r w:rsidRPr="009B1450">
        <w:rPr>
          <w:i/>
          <w:iCs/>
          <w:sz w:val="22"/>
          <w:szCs w:val="22"/>
        </w:rPr>
        <w:t>taking into account</w:t>
      </w:r>
      <w:proofErr w:type="gramEnd"/>
      <w:r w:rsidRPr="009B1450">
        <w:rPr>
          <w:i/>
          <w:iCs/>
          <w:sz w:val="22"/>
          <w:szCs w:val="22"/>
        </w:rPr>
        <w:t xml:space="preserve"> the results of the above review, </w:t>
      </w:r>
      <w:r w:rsidRPr="009B1450">
        <w:rPr>
          <w:i/>
          <w:sz w:val="22"/>
          <w:szCs w:val="22"/>
        </w:rPr>
        <w:t>to study possible technical and operational measures to ensure the protection of RNSS (space-to-Earth) receivers from the amateur and amateur-satellite services in the frequency band 1 240-1 300 MHz, without considering the removal of these amateur and amateur-satellite service allocations</w:t>
      </w:r>
      <w:r w:rsidRPr="009B1450">
        <w:rPr>
          <w:i/>
          <w:iCs/>
          <w:sz w:val="22"/>
          <w:szCs w:val="22"/>
        </w:rPr>
        <w:t>.”</w:t>
      </w:r>
    </w:p>
    <w:p w14:paraId="2A5B4395" w14:textId="77777777" w:rsidR="009B1450" w:rsidRPr="009B1450" w:rsidRDefault="009B1450" w:rsidP="009B1450">
      <w:pPr>
        <w:rPr>
          <w:i/>
          <w:iCs/>
          <w:sz w:val="22"/>
          <w:szCs w:val="22"/>
        </w:rPr>
      </w:pPr>
      <w:r w:rsidRPr="009B1450">
        <w:rPr>
          <w:i/>
          <w:iCs/>
          <w:sz w:val="22"/>
          <w:szCs w:val="22"/>
        </w:rPr>
        <w:t xml:space="preserve"> </w:t>
      </w:r>
    </w:p>
    <w:p w14:paraId="0A3C6786" w14:textId="77777777" w:rsidR="009B1450" w:rsidRPr="009B1450" w:rsidRDefault="009B1450" w:rsidP="009B1450">
      <w:pPr>
        <w:autoSpaceDE w:val="0"/>
        <w:autoSpaceDN w:val="0"/>
        <w:adjustRightInd w:val="0"/>
        <w:rPr>
          <w:sz w:val="22"/>
          <w:szCs w:val="22"/>
        </w:rPr>
      </w:pPr>
      <w:r w:rsidRPr="009B1450">
        <w:rPr>
          <w:sz w:val="22"/>
          <w:szCs w:val="22"/>
        </w:rPr>
        <w:t xml:space="preserve">The amateur service has a global secondary allocation in the 1 240-1 300 MHz frequency band. The amateur-satellite service has a secondary allocation in 1 260-1 270 </w:t>
      </w:r>
      <w:proofErr w:type="gramStart"/>
      <w:r w:rsidRPr="009B1450">
        <w:rPr>
          <w:sz w:val="22"/>
          <w:szCs w:val="22"/>
        </w:rPr>
        <w:t>MHz</w:t>
      </w:r>
      <w:proofErr w:type="gramEnd"/>
      <w:r w:rsidRPr="009B1450">
        <w:rPr>
          <w:sz w:val="22"/>
          <w:szCs w:val="22"/>
        </w:rPr>
        <w:t xml:space="preserve"> </w:t>
      </w:r>
    </w:p>
    <w:p w14:paraId="4A5C4297" w14:textId="77777777" w:rsidR="009B1450" w:rsidRPr="009B1450" w:rsidRDefault="009B1450" w:rsidP="009B1450">
      <w:pPr>
        <w:autoSpaceDE w:val="0"/>
        <w:autoSpaceDN w:val="0"/>
        <w:adjustRightInd w:val="0"/>
        <w:rPr>
          <w:sz w:val="22"/>
          <w:szCs w:val="22"/>
        </w:rPr>
      </w:pPr>
      <w:r w:rsidRPr="009B1450">
        <w:rPr>
          <w:sz w:val="22"/>
          <w:szCs w:val="22"/>
        </w:rPr>
        <w:t xml:space="preserve">(Earth-to-space) (see No. </w:t>
      </w:r>
      <w:r w:rsidRPr="009B1450">
        <w:rPr>
          <w:b/>
          <w:bCs/>
          <w:sz w:val="22"/>
          <w:szCs w:val="22"/>
        </w:rPr>
        <w:t>5.282</w:t>
      </w:r>
      <w:r w:rsidRPr="009B1450">
        <w:rPr>
          <w:sz w:val="22"/>
          <w:szCs w:val="22"/>
        </w:rPr>
        <w:t>).  Services with primary allocations in these frequency ranges include the radionavigation-satellite service (RNSS) (space-to-Earth) and (space-to-space), the radiolocation service, the earth exploration-satellite service (active), and the space research service (active).</w:t>
      </w:r>
    </w:p>
    <w:p w14:paraId="50737C90" w14:textId="77777777" w:rsidR="009B1450" w:rsidRPr="009B1450" w:rsidRDefault="009B1450" w:rsidP="009B1450">
      <w:pPr>
        <w:autoSpaceDE w:val="0"/>
        <w:autoSpaceDN w:val="0"/>
        <w:adjustRightInd w:val="0"/>
        <w:rPr>
          <w:sz w:val="22"/>
          <w:szCs w:val="22"/>
        </w:rPr>
      </w:pPr>
    </w:p>
    <w:p w14:paraId="797E74C1" w14:textId="77777777" w:rsidR="009B1450" w:rsidRPr="009B1450" w:rsidRDefault="009B1450" w:rsidP="009B1450">
      <w:pPr>
        <w:rPr>
          <w:sz w:val="22"/>
          <w:szCs w:val="22"/>
          <w:lang w:eastAsia="zh-CN"/>
        </w:rPr>
      </w:pPr>
      <w:r w:rsidRPr="009B1450">
        <w:rPr>
          <w:sz w:val="22"/>
          <w:szCs w:val="22"/>
        </w:rPr>
        <w:t xml:space="preserve">Based on years of operational experience, many applications of the secondary amateur and amateur satellite services have successfully co-existed with all the primary services in the range 1 240-1 300 </w:t>
      </w:r>
      <w:proofErr w:type="spellStart"/>
      <w:r w:rsidRPr="009B1450">
        <w:rPr>
          <w:sz w:val="22"/>
          <w:szCs w:val="22"/>
        </w:rPr>
        <w:t>MHz.</w:t>
      </w:r>
      <w:proofErr w:type="spellEnd"/>
      <w:r w:rsidRPr="009B1450">
        <w:rPr>
          <w:sz w:val="22"/>
          <w:szCs w:val="22"/>
        </w:rPr>
        <w:t xml:space="preserve"> However, s</w:t>
      </w:r>
      <w:r w:rsidRPr="009B1450">
        <w:rPr>
          <w:sz w:val="22"/>
          <w:szCs w:val="22"/>
          <w:lang w:eastAsia="zh-CN"/>
        </w:rPr>
        <w:t>ome cases of harmful interference caused by transmissions from stations in the amateur service operating on a secondary basis into RNSS (space</w:t>
      </w:r>
      <w:r w:rsidRPr="009B1450">
        <w:rPr>
          <w:sz w:val="22"/>
          <w:szCs w:val="22"/>
          <w:lang w:eastAsia="zh-CN"/>
        </w:rPr>
        <w:noBreakHyphen/>
        <w:t xml:space="preserve">to-Earth) receivers operating on a primary basis have been observed, </w:t>
      </w:r>
      <w:proofErr w:type="gramStart"/>
      <w:r w:rsidRPr="009B1450">
        <w:rPr>
          <w:sz w:val="22"/>
          <w:szCs w:val="22"/>
          <w:lang w:eastAsia="zh-CN"/>
        </w:rPr>
        <w:t>documented</w:t>
      </w:r>
      <w:proofErr w:type="gramEnd"/>
      <w:r w:rsidRPr="009B1450">
        <w:rPr>
          <w:sz w:val="22"/>
          <w:szCs w:val="22"/>
          <w:lang w:eastAsia="zh-CN"/>
        </w:rPr>
        <w:t xml:space="preserve"> and reported in two countries. </w:t>
      </w:r>
    </w:p>
    <w:p w14:paraId="03520528" w14:textId="77777777" w:rsidR="009B1450" w:rsidRPr="009B1450" w:rsidRDefault="009B1450" w:rsidP="009B1450">
      <w:pPr>
        <w:rPr>
          <w:sz w:val="22"/>
          <w:szCs w:val="22"/>
          <w:lang w:eastAsia="zh-CN"/>
        </w:rPr>
      </w:pPr>
    </w:p>
    <w:p w14:paraId="7C9C7883" w14:textId="77777777" w:rsidR="009B1450" w:rsidRPr="009B1450" w:rsidRDefault="009B1450" w:rsidP="009B1450">
      <w:pPr>
        <w:rPr>
          <w:sz w:val="22"/>
          <w:szCs w:val="22"/>
          <w:lang w:eastAsia="zh-CN"/>
        </w:rPr>
      </w:pPr>
      <w:r w:rsidRPr="009B1450">
        <w:rPr>
          <w:sz w:val="22"/>
          <w:szCs w:val="22"/>
          <w:lang w:eastAsia="zh-CN"/>
        </w:rPr>
        <w:t>Subsequent ITU-R studies provided an estimate of potential interference distance and confirmed that the impact of interference generally depends on the bandwidth and power of the interfering signal. Furthermore, these studies predicted that RNSS receiver protection criteria could be exceeded by co-frequency emissions from typical amateur stations.</w:t>
      </w:r>
    </w:p>
    <w:p w14:paraId="19C84782" w14:textId="77777777" w:rsidR="009B1450" w:rsidRPr="009B1450" w:rsidRDefault="009B1450" w:rsidP="009B1450">
      <w:pPr>
        <w:rPr>
          <w:sz w:val="22"/>
          <w:szCs w:val="22"/>
          <w:lang w:eastAsia="zh-CN"/>
        </w:rPr>
      </w:pPr>
    </w:p>
    <w:p w14:paraId="336C11D5" w14:textId="77777777" w:rsidR="009B1450" w:rsidRPr="009B1450" w:rsidRDefault="009B1450" w:rsidP="009B1450">
      <w:pPr>
        <w:rPr>
          <w:sz w:val="22"/>
          <w:szCs w:val="22"/>
          <w:lang w:eastAsia="zh-CN"/>
        </w:rPr>
      </w:pPr>
      <w:r w:rsidRPr="009B1450">
        <w:rPr>
          <w:sz w:val="22"/>
          <w:szCs w:val="22"/>
        </w:rPr>
        <w:t>In some cases where certain applications (</w:t>
      </w:r>
      <w:proofErr w:type="gramStart"/>
      <w:r w:rsidRPr="009B1450">
        <w:rPr>
          <w:sz w:val="22"/>
          <w:szCs w:val="22"/>
        </w:rPr>
        <w:t>in particular wide</w:t>
      </w:r>
      <w:proofErr w:type="gramEnd"/>
      <w:r w:rsidRPr="009B1450">
        <w:rPr>
          <w:sz w:val="22"/>
          <w:szCs w:val="22"/>
        </w:rPr>
        <w:t xml:space="preserve"> bandwidth, high duty cycle applications) could increase the potential for interference, specific spectrum management techniques and national licensing conditions have minimized any risk of harmful interference. </w:t>
      </w:r>
      <w:r w:rsidRPr="009B1450">
        <w:rPr>
          <w:sz w:val="22"/>
          <w:szCs w:val="22"/>
          <w:lang w:eastAsia="zh-CN"/>
        </w:rPr>
        <w:t>The ITU-R is developing a Recommendation ITU</w:t>
      </w:r>
      <w:r w:rsidRPr="009B1450">
        <w:rPr>
          <w:sz w:val="22"/>
          <w:szCs w:val="22"/>
          <w:lang w:eastAsia="zh-CN"/>
        </w:rPr>
        <w:noBreakHyphen/>
        <w:t xml:space="preserve">R </w:t>
      </w:r>
      <w:proofErr w:type="gramStart"/>
      <w:r w:rsidRPr="009B1450">
        <w:rPr>
          <w:sz w:val="22"/>
          <w:szCs w:val="22"/>
          <w:lang w:eastAsia="zh-CN"/>
        </w:rPr>
        <w:t>M.[</w:t>
      </w:r>
      <w:proofErr w:type="gramEnd"/>
      <w:r w:rsidRPr="009B1450">
        <w:rPr>
          <w:sz w:val="22"/>
          <w:szCs w:val="22"/>
          <w:lang w:eastAsia="zh-CN"/>
        </w:rPr>
        <w:t xml:space="preserve">AS.GUIDANCE] providing guidelines in order to avoid such cases of harmful interference to the RNSS receivers in the future. This Recommendation could include, </w:t>
      </w:r>
      <w:r w:rsidRPr="009B1450">
        <w:rPr>
          <w:i/>
          <w:iCs/>
          <w:sz w:val="22"/>
          <w:szCs w:val="22"/>
          <w:lang w:eastAsia="zh-CN"/>
        </w:rPr>
        <w:t>inter alia</w:t>
      </w:r>
      <w:r w:rsidRPr="009B1450">
        <w:rPr>
          <w:sz w:val="22"/>
          <w:szCs w:val="22"/>
          <w:lang w:eastAsia="zh-CN"/>
        </w:rPr>
        <w:t>, encouragement of the use of specific sub-bands with sufficient frequency offsets from the spectrum main lobes of RNSS signals</w:t>
      </w:r>
      <w:r w:rsidRPr="009B1450">
        <w:rPr>
          <w:sz w:val="22"/>
          <w:szCs w:val="22"/>
        </w:rPr>
        <w:t xml:space="preserve"> </w:t>
      </w:r>
      <w:r w:rsidRPr="009B1450">
        <w:rPr>
          <w:sz w:val="22"/>
          <w:szCs w:val="22"/>
          <w:lang w:eastAsia="zh-CN"/>
        </w:rPr>
        <w:t>to enhance the protection of RNSS receivers in the bands under consideration.  These guidelines are intended to assist administrations and the amateur and amateur-satellite services to ensure the protection of the RNSS (space-to-Earth) in the frequency band 1 240-1 300 </w:t>
      </w:r>
      <w:proofErr w:type="spellStart"/>
      <w:r w:rsidRPr="009B1450">
        <w:rPr>
          <w:sz w:val="22"/>
          <w:szCs w:val="22"/>
          <w:lang w:eastAsia="zh-CN"/>
        </w:rPr>
        <w:t>MHz.</w:t>
      </w:r>
      <w:proofErr w:type="spellEnd"/>
      <w:r w:rsidRPr="009B1450">
        <w:rPr>
          <w:sz w:val="22"/>
          <w:szCs w:val="22"/>
          <w:lang w:eastAsia="zh-CN"/>
        </w:rPr>
        <w:t xml:space="preserve"> </w:t>
      </w:r>
    </w:p>
    <w:p w14:paraId="53F4D66B" w14:textId="77777777" w:rsidR="009B1450" w:rsidRPr="009B1450" w:rsidRDefault="009B1450" w:rsidP="009B1450">
      <w:pPr>
        <w:rPr>
          <w:sz w:val="22"/>
          <w:szCs w:val="22"/>
        </w:rPr>
      </w:pPr>
    </w:p>
    <w:p w14:paraId="72D2AFFE" w14:textId="77777777" w:rsidR="009B1450" w:rsidRPr="009B1450" w:rsidRDefault="009B1450" w:rsidP="009B1450">
      <w:pPr>
        <w:rPr>
          <w:sz w:val="22"/>
          <w:szCs w:val="22"/>
        </w:rPr>
      </w:pPr>
      <w:r w:rsidRPr="009B1450">
        <w:rPr>
          <w:sz w:val="22"/>
          <w:szCs w:val="22"/>
        </w:rPr>
        <w:lastRenderedPageBreak/>
        <w:t xml:space="preserve">Given the secondary allocation status of the service, there is no present need for any additional regulatory, </w:t>
      </w:r>
      <w:proofErr w:type="gramStart"/>
      <w:r w:rsidRPr="009B1450">
        <w:rPr>
          <w:sz w:val="22"/>
          <w:szCs w:val="22"/>
        </w:rPr>
        <w:t>operational</w:t>
      </w:r>
      <w:proofErr w:type="gramEnd"/>
      <w:r w:rsidRPr="009B1450">
        <w:rPr>
          <w:sz w:val="22"/>
          <w:szCs w:val="22"/>
        </w:rPr>
        <w:t xml:space="preserve"> or technical conditions incorporated into the Radio Regulations. The ITU-R can address and facilitate the compatibility between the secondary amateur and amateur-satellite services and co-frequency primary incumbent services through ITU Reports or Recommendations providing additional information for administrations on operational and technical matters that could be considered on a national basis.</w:t>
      </w:r>
    </w:p>
    <w:p w14:paraId="17B69D69" w14:textId="77777777" w:rsidR="009B1450" w:rsidRPr="009B1450" w:rsidRDefault="009B1450" w:rsidP="009B1450">
      <w:pPr>
        <w:widowControl w:val="0"/>
        <w:autoSpaceDE w:val="0"/>
        <w:autoSpaceDN w:val="0"/>
        <w:adjustRightInd w:val="0"/>
        <w:rPr>
          <w:sz w:val="22"/>
          <w:szCs w:val="22"/>
        </w:rPr>
      </w:pPr>
    </w:p>
    <w:p w14:paraId="53C17B9E" w14:textId="77777777" w:rsidR="009B1450" w:rsidRPr="009B1450" w:rsidRDefault="009B1450" w:rsidP="009B1450">
      <w:pPr>
        <w:widowControl w:val="0"/>
        <w:spacing w:after="120"/>
        <w:rPr>
          <w:sz w:val="22"/>
          <w:szCs w:val="22"/>
        </w:rPr>
      </w:pPr>
      <w:r w:rsidRPr="009B1450">
        <w:rPr>
          <w:b/>
          <w:sz w:val="22"/>
          <w:szCs w:val="22"/>
        </w:rPr>
        <w:t>Proposals</w:t>
      </w:r>
      <w:r w:rsidRPr="009B1450">
        <w:rPr>
          <w:sz w:val="22"/>
          <w:szCs w:val="22"/>
        </w:rPr>
        <w:t>:</w:t>
      </w:r>
    </w:p>
    <w:p w14:paraId="40B03843" w14:textId="77777777" w:rsidR="009B1450" w:rsidRPr="009B1450" w:rsidRDefault="009B1450" w:rsidP="009B1450">
      <w:pPr>
        <w:pStyle w:val="ApptoAnnex"/>
        <w:jc w:val="left"/>
        <w:rPr>
          <w:b/>
          <w:bCs/>
          <w:sz w:val="22"/>
          <w:szCs w:val="22"/>
          <w:lang w:val="fr-FR"/>
        </w:rPr>
      </w:pPr>
      <w:r w:rsidRPr="009B1450">
        <w:rPr>
          <w:b/>
          <w:sz w:val="22"/>
          <w:szCs w:val="22"/>
          <w:u w:val="single"/>
          <w:lang w:val="fr-FR"/>
        </w:rPr>
        <w:t>NOC</w:t>
      </w:r>
      <w:r w:rsidRPr="009B1450">
        <w:rPr>
          <w:b/>
          <w:bCs/>
          <w:sz w:val="22"/>
          <w:szCs w:val="22"/>
          <w:lang w:val="fr-FR"/>
        </w:rPr>
        <w:tab/>
      </w:r>
      <w:r w:rsidRPr="009B1450">
        <w:rPr>
          <w:sz w:val="22"/>
          <w:szCs w:val="22"/>
          <w:lang w:val="fr-FR"/>
        </w:rPr>
        <w:t>USA/9.1-B/1</w:t>
      </w:r>
    </w:p>
    <w:p w14:paraId="436B3057" w14:textId="77777777" w:rsidR="009B1450" w:rsidRPr="009B1450" w:rsidRDefault="009B1450" w:rsidP="009B1450">
      <w:pPr>
        <w:pStyle w:val="Volumetitle"/>
        <w:rPr>
          <w:sz w:val="22"/>
          <w:szCs w:val="22"/>
        </w:rPr>
      </w:pPr>
      <w:r w:rsidRPr="009B1450">
        <w:rPr>
          <w:sz w:val="22"/>
          <w:szCs w:val="22"/>
        </w:rPr>
        <w:t>ARTICLES</w:t>
      </w:r>
    </w:p>
    <w:p w14:paraId="022A56D2" w14:textId="77777777" w:rsidR="009B1450" w:rsidRPr="009B1450" w:rsidRDefault="009B1450" w:rsidP="009B1450">
      <w:pPr>
        <w:widowControl w:val="0"/>
        <w:rPr>
          <w:b/>
          <w:bCs/>
          <w:sz w:val="22"/>
          <w:szCs w:val="22"/>
        </w:rPr>
      </w:pPr>
    </w:p>
    <w:p w14:paraId="2D516845" w14:textId="77777777" w:rsidR="009B1450" w:rsidRPr="009B1450" w:rsidRDefault="009B1450" w:rsidP="009B1450">
      <w:pPr>
        <w:widowControl w:val="0"/>
        <w:rPr>
          <w:rFonts w:eastAsiaTheme="minorHAnsi"/>
          <w:sz w:val="22"/>
          <w:szCs w:val="22"/>
        </w:rPr>
      </w:pPr>
      <w:r w:rsidRPr="009B1450">
        <w:rPr>
          <w:b/>
          <w:bCs/>
          <w:sz w:val="22"/>
          <w:szCs w:val="22"/>
        </w:rPr>
        <w:t>Reason</w:t>
      </w:r>
      <w:r w:rsidRPr="009B1450">
        <w:rPr>
          <w:sz w:val="22"/>
          <w:szCs w:val="22"/>
        </w:rPr>
        <w:t xml:space="preserve">:  The United States is of the view that no changes to the Radio Regulations should be made under this Agenda item 9.1 topic.  Administrations are encouraged to </w:t>
      </w:r>
      <w:proofErr w:type="gramStart"/>
      <w:r w:rsidRPr="009B1450">
        <w:rPr>
          <w:sz w:val="22"/>
          <w:szCs w:val="22"/>
        </w:rPr>
        <w:t>take into account</w:t>
      </w:r>
      <w:proofErr w:type="gramEnd"/>
      <w:r w:rsidRPr="009B1450">
        <w:rPr>
          <w:sz w:val="22"/>
          <w:szCs w:val="22"/>
        </w:rPr>
        <w:t xml:space="preserve"> ITU-R Reports/Recommendations under development on how the amateur allocation can coexist with primary services in the 1240 – 1300 MHz band.</w:t>
      </w:r>
    </w:p>
    <w:p w14:paraId="2719D877" w14:textId="77777777" w:rsidR="009B1450" w:rsidRPr="009B1450" w:rsidRDefault="009B1450" w:rsidP="009B1450">
      <w:pPr>
        <w:widowControl w:val="0"/>
        <w:overflowPunct w:val="0"/>
        <w:autoSpaceDE w:val="0"/>
        <w:autoSpaceDN w:val="0"/>
        <w:adjustRightInd w:val="0"/>
        <w:ind w:right="60"/>
        <w:rPr>
          <w:sz w:val="22"/>
          <w:szCs w:val="22"/>
        </w:rPr>
      </w:pPr>
    </w:p>
    <w:p w14:paraId="25921CF5" w14:textId="77777777" w:rsidR="009B1450" w:rsidRPr="009B1450" w:rsidRDefault="009B1450" w:rsidP="009B1450">
      <w:pPr>
        <w:pStyle w:val="ApptoAnnex"/>
        <w:jc w:val="left"/>
        <w:rPr>
          <w:b/>
          <w:bCs/>
          <w:sz w:val="22"/>
          <w:szCs w:val="22"/>
          <w:lang w:val="fr-FR"/>
        </w:rPr>
      </w:pPr>
      <w:r w:rsidRPr="009B1450">
        <w:rPr>
          <w:b/>
          <w:bCs/>
          <w:sz w:val="22"/>
          <w:szCs w:val="22"/>
          <w:lang w:val="fr-FR"/>
        </w:rPr>
        <w:t>SUP</w:t>
      </w:r>
      <w:r w:rsidRPr="009B1450">
        <w:rPr>
          <w:b/>
          <w:bCs/>
          <w:sz w:val="22"/>
          <w:szCs w:val="22"/>
          <w:lang w:val="fr-FR"/>
        </w:rPr>
        <w:tab/>
      </w:r>
      <w:r w:rsidRPr="009B1450">
        <w:rPr>
          <w:sz w:val="22"/>
          <w:szCs w:val="22"/>
          <w:lang w:val="fr-FR"/>
        </w:rPr>
        <w:t>USA/9.1-B/2</w:t>
      </w:r>
    </w:p>
    <w:p w14:paraId="716DA0AB" w14:textId="77777777" w:rsidR="009B1450" w:rsidRPr="009B1450" w:rsidRDefault="009B1450" w:rsidP="009B1450">
      <w:pPr>
        <w:widowControl w:val="0"/>
        <w:rPr>
          <w:sz w:val="22"/>
          <w:szCs w:val="22"/>
        </w:rPr>
      </w:pPr>
    </w:p>
    <w:p w14:paraId="15B9ACC5" w14:textId="77777777" w:rsidR="009B1450" w:rsidRPr="009B1450" w:rsidRDefault="009B1450" w:rsidP="009B1450">
      <w:pPr>
        <w:pStyle w:val="ResNo"/>
        <w:rPr>
          <w:sz w:val="22"/>
          <w:szCs w:val="22"/>
        </w:rPr>
      </w:pPr>
      <w:r w:rsidRPr="009B1450">
        <w:rPr>
          <w:sz w:val="22"/>
          <w:szCs w:val="22"/>
        </w:rPr>
        <w:t xml:space="preserve">RESOLUTION 774 (WRC-19) </w:t>
      </w:r>
    </w:p>
    <w:p w14:paraId="0F25C3BB" w14:textId="77777777" w:rsidR="009B1450" w:rsidRPr="009B1450" w:rsidRDefault="009B1450" w:rsidP="009B1450">
      <w:pPr>
        <w:widowControl w:val="0"/>
        <w:jc w:val="center"/>
        <w:rPr>
          <w:sz w:val="22"/>
          <w:szCs w:val="22"/>
        </w:rPr>
      </w:pPr>
    </w:p>
    <w:p w14:paraId="36D29F52" w14:textId="77777777" w:rsidR="009B1450" w:rsidRPr="009B1450" w:rsidRDefault="009B1450" w:rsidP="009B1450">
      <w:pPr>
        <w:widowControl w:val="0"/>
        <w:jc w:val="center"/>
        <w:rPr>
          <w:b/>
          <w:bCs/>
          <w:sz w:val="22"/>
          <w:szCs w:val="22"/>
        </w:rPr>
      </w:pPr>
      <w:r w:rsidRPr="009B1450">
        <w:rPr>
          <w:b/>
          <w:bCs/>
          <w:sz w:val="22"/>
          <w:szCs w:val="22"/>
        </w:rPr>
        <w:t>Studies on technical and operational measures to be applied in the frequency band 1 240-1 300 MHz to ensure the protection of the radionavigation-satellite service (space-to-Earth)</w:t>
      </w:r>
    </w:p>
    <w:p w14:paraId="4936E415" w14:textId="77777777" w:rsidR="009B1450" w:rsidRPr="009B1450" w:rsidRDefault="009B1450" w:rsidP="009B1450">
      <w:pPr>
        <w:widowControl w:val="0"/>
        <w:rPr>
          <w:sz w:val="22"/>
          <w:szCs w:val="22"/>
        </w:rPr>
      </w:pPr>
    </w:p>
    <w:p w14:paraId="59D8C48E" w14:textId="77777777" w:rsidR="009B1450" w:rsidRPr="009B1450" w:rsidRDefault="009B1450" w:rsidP="009B1450">
      <w:pPr>
        <w:widowControl w:val="0"/>
        <w:rPr>
          <w:sz w:val="22"/>
          <w:szCs w:val="22"/>
        </w:rPr>
      </w:pPr>
      <w:r w:rsidRPr="009B1450">
        <w:rPr>
          <w:b/>
          <w:bCs/>
          <w:sz w:val="22"/>
          <w:szCs w:val="22"/>
        </w:rPr>
        <w:t>Reason:</w:t>
      </w:r>
      <w:r w:rsidRPr="009B1450">
        <w:rPr>
          <w:sz w:val="22"/>
          <w:szCs w:val="22"/>
        </w:rPr>
        <w:t xml:space="preserve">  Consequential action</w:t>
      </w:r>
    </w:p>
    <w:p w14:paraId="4EEB83EB" w14:textId="2C37F139" w:rsidR="00DF6653" w:rsidRPr="009B1450" w:rsidRDefault="00DF6653" w:rsidP="00EE3CD2">
      <w:pPr>
        <w:rPr>
          <w:b/>
          <w:bCs/>
          <w:sz w:val="22"/>
          <w:szCs w:val="22"/>
        </w:rPr>
      </w:pPr>
    </w:p>
    <w:sectPr w:rsidR="00DF6653" w:rsidRPr="009B1450"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A54B" w14:textId="77777777" w:rsidR="00E03E5D" w:rsidRDefault="00E03E5D">
      <w:r>
        <w:separator/>
      </w:r>
    </w:p>
  </w:endnote>
  <w:endnote w:type="continuationSeparator" w:id="0">
    <w:p w14:paraId="544C6E45" w14:textId="77777777" w:rsidR="00E03E5D" w:rsidRDefault="00E0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B1FCFD8" w:rsidR="00C41FAE" w:rsidRDefault="00A36BD9" w:rsidP="00D87E29">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CCPII-2023-41-Template_i</w:t>
    </w:r>
    <w:r>
      <w:rPr>
        <w:snapToGrid w:val="0"/>
      </w:rPr>
      <w:fldChar w:fldCharType="end"/>
    </w:r>
    <w:r w:rsidR="00C41FAE">
      <w:tab/>
    </w:r>
    <w:r w:rsidR="0009082A">
      <w:t xml:space="preserve">                      </w:t>
    </w:r>
    <w:r w:rsidR="000729CB">
      <w:t xml:space="preserve">                     01.05.23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5523" w14:textId="77777777" w:rsidR="00E03E5D" w:rsidRDefault="00E03E5D">
      <w:r>
        <w:separator/>
      </w:r>
    </w:p>
  </w:footnote>
  <w:footnote w:type="continuationSeparator" w:id="0">
    <w:p w14:paraId="46C95223" w14:textId="77777777" w:rsidR="00E03E5D" w:rsidRDefault="00E0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4"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37"/>
      <w:gridCol w:w="8717"/>
    </w:tblGrid>
    <w:tr w:rsidR="00C41FAE" w:rsidRPr="00CD742A" w14:paraId="4F38018C" w14:textId="77777777" w:rsidTr="009E64C9">
      <w:trPr>
        <w:cantSplit/>
        <w:trHeight w:val="1783"/>
      </w:trPr>
      <w:tc>
        <w:tcPr>
          <w:tcW w:w="143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9728"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2D40"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3F4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C890"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A27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17"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 xml:space="preserve">Inter-American </w:t>
          </w:r>
          <w:proofErr w:type="spellStart"/>
          <w:r w:rsidRPr="00C148DD">
            <w:rPr>
              <w:rFonts w:ascii="Arial" w:hAnsi="Arial" w:cs="Arial"/>
              <w:b/>
              <w:sz w:val="25"/>
              <w:szCs w:val="25"/>
              <w:lang w:val="es-ES"/>
            </w:rPr>
            <w:t>Telecommunication</w:t>
          </w:r>
          <w:proofErr w:type="spellEnd"/>
          <w:r w:rsidRPr="00C148DD">
            <w:rPr>
              <w:rFonts w:ascii="Arial" w:hAnsi="Arial" w:cs="Arial"/>
              <w:b/>
              <w:sz w:val="25"/>
              <w:szCs w:val="25"/>
              <w:lang w:val="es-ES"/>
            </w:rPr>
            <w:t xml:space="preserve"> </w:t>
          </w:r>
          <w:proofErr w:type="spellStart"/>
          <w:r w:rsidRPr="00C148DD">
            <w:rPr>
              <w:rFonts w:ascii="Arial" w:hAnsi="Arial" w:cs="Arial"/>
              <w:b/>
              <w:sz w:val="25"/>
              <w:szCs w:val="25"/>
              <w:lang w:val="es-ES"/>
            </w:rPr>
            <w:t>Commission</w:t>
          </w:r>
          <w:proofErr w:type="spellEnd"/>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958530109">
    <w:abstractNumId w:val="0"/>
  </w:num>
  <w:num w:numId="2" w16cid:durableId="1937902406">
    <w:abstractNumId w:val="2"/>
  </w:num>
  <w:num w:numId="3" w16cid:durableId="1108692940">
    <w:abstractNumId w:val="4"/>
  </w:num>
  <w:num w:numId="4" w16cid:durableId="932054044">
    <w:abstractNumId w:val="1"/>
  </w:num>
  <w:num w:numId="5" w16cid:durableId="1393431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06DF5"/>
    <w:rsid w:val="00016AF3"/>
    <w:rsid w:val="00036C89"/>
    <w:rsid w:val="0004372C"/>
    <w:rsid w:val="00047907"/>
    <w:rsid w:val="0006494B"/>
    <w:rsid w:val="000729CB"/>
    <w:rsid w:val="0009082A"/>
    <w:rsid w:val="00092B9A"/>
    <w:rsid w:val="000C13F4"/>
    <w:rsid w:val="000D09FC"/>
    <w:rsid w:val="000E0D26"/>
    <w:rsid w:val="000E3FD2"/>
    <w:rsid w:val="000E519C"/>
    <w:rsid w:val="000F0EB4"/>
    <w:rsid w:val="000F672B"/>
    <w:rsid w:val="001042D1"/>
    <w:rsid w:val="00130557"/>
    <w:rsid w:val="0013634A"/>
    <w:rsid w:val="00137555"/>
    <w:rsid w:val="0014316F"/>
    <w:rsid w:val="00147B70"/>
    <w:rsid w:val="00164759"/>
    <w:rsid w:val="001656B9"/>
    <w:rsid w:val="001E2B56"/>
    <w:rsid w:val="00204E6D"/>
    <w:rsid w:val="00211705"/>
    <w:rsid w:val="00214619"/>
    <w:rsid w:val="002178DF"/>
    <w:rsid w:val="00233132"/>
    <w:rsid w:val="0024202E"/>
    <w:rsid w:val="0025504C"/>
    <w:rsid w:val="002909CF"/>
    <w:rsid w:val="002A6325"/>
    <w:rsid w:val="003001F7"/>
    <w:rsid w:val="003154A6"/>
    <w:rsid w:val="0031615C"/>
    <w:rsid w:val="00357A92"/>
    <w:rsid w:val="003701A5"/>
    <w:rsid w:val="00375A06"/>
    <w:rsid w:val="00394C7C"/>
    <w:rsid w:val="003B26CD"/>
    <w:rsid w:val="00421E79"/>
    <w:rsid w:val="00426E20"/>
    <w:rsid w:val="0043042C"/>
    <w:rsid w:val="0045478F"/>
    <w:rsid w:val="004566B8"/>
    <w:rsid w:val="004571A3"/>
    <w:rsid w:val="00471B76"/>
    <w:rsid w:val="00482D07"/>
    <w:rsid w:val="004A7659"/>
    <w:rsid w:val="004B39D5"/>
    <w:rsid w:val="004D474D"/>
    <w:rsid w:val="004D7CD7"/>
    <w:rsid w:val="004E2D44"/>
    <w:rsid w:val="004E74AB"/>
    <w:rsid w:val="004F7C58"/>
    <w:rsid w:val="005156A2"/>
    <w:rsid w:val="005165B4"/>
    <w:rsid w:val="005175FB"/>
    <w:rsid w:val="005308BE"/>
    <w:rsid w:val="005315BE"/>
    <w:rsid w:val="00532018"/>
    <w:rsid w:val="00556434"/>
    <w:rsid w:val="005863A9"/>
    <w:rsid w:val="005962C2"/>
    <w:rsid w:val="005A57AD"/>
    <w:rsid w:val="005B391F"/>
    <w:rsid w:val="005B5405"/>
    <w:rsid w:val="005B6C85"/>
    <w:rsid w:val="005C4FF3"/>
    <w:rsid w:val="005C60FF"/>
    <w:rsid w:val="005E2C5E"/>
    <w:rsid w:val="00620569"/>
    <w:rsid w:val="006445B1"/>
    <w:rsid w:val="00662EE2"/>
    <w:rsid w:val="00686D89"/>
    <w:rsid w:val="00696717"/>
    <w:rsid w:val="006C2785"/>
    <w:rsid w:val="006D315B"/>
    <w:rsid w:val="006D63BD"/>
    <w:rsid w:val="006E16A4"/>
    <w:rsid w:val="006F3040"/>
    <w:rsid w:val="007043EB"/>
    <w:rsid w:val="00762C5B"/>
    <w:rsid w:val="007907D1"/>
    <w:rsid w:val="007A0652"/>
    <w:rsid w:val="007C4674"/>
    <w:rsid w:val="007C70B1"/>
    <w:rsid w:val="00804806"/>
    <w:rsid w:val="00825084"/>
    <w:rsid w:val="0082548B"/>
    <w:rsid w:val="008264D0"/>
    <w:rsid w:val="008325E6"/>
    <w:rsid w:val="00835CCA"/>
    <w:rsid w:val="00840D79"/>
    <w:rsid w:val="0084584A"/>
    <w:rsid w:val="00855704"/>
    <w:rsid w:val="00857D7C"/>
    <w:rsid w:val="008819AD"/>
    <w:rsid w:val="00897200"/>
    <w:rsid w:val="008A61D6"/>
    <w:rsid w:val="008B66E9"/>
    <w:rsid w:val="008C70E1"/>
    <w:rsid w:val="008F141E"/>
    <w:rsid w:val="008F2196"/>
    <w:rsid w:val="008F4797"/>
    <w:rsid w:val="0096041A"/>
    <w:rsid w:val="009762A5"/>
    <w:rsid w:val="0097711D"/>
    <w:rsid w:val="009801AE"/>
    <w:rsid w:val="00982377"/>
    <w:rsid w:val="00986B91"/>
    <w:rsid w:val="009B1450"/>
    <w:rsid w:val="009B3A10"/>
    <w:rsid w:val="009B3A2A"/>
    <w:rsid w:val="009B7B6A"/>
    <w:rsid w:val="009E427F"/>
    <w:rsid w:val="009E4C27"/>
    <w:rsid w:val="009E64C9"/>
    <w:rsid w:val="00A0122F"/>
    <w:rsid w:val="00A339A9"/>
    <w:rsid w:val="00A36BD9"/>
    <w:rsid w:val="00A4159C"/>
    <w:rsid w:val="00A51807"/>
    <w:rsid w:val="00A6371A"/>
    <w:rsid w:val="00AA2672"/>
    <w:rsid w:val="00AB17C2"/>
    <w:rsid w:val="00AC0FEE"/>
    <w:rsid w:val="00B3194A"/>
    <w:rsid w:val="00B335FC"/>
    <w:rsid w:val="00B42446"/>
    <w:rsid w:val="00B47FB3"/>
    <w:rsid w:val="00B52A9B"/>
    <w:rsid w:val="00B63DC3"/>
    <w:rsid w:val="00B64C14"/>
    <w:rsid w:val="00B71FAB"/>
    <w:rsid w:val="00B83494"/>
    <w:rsid w:val="00B91A68"/>
    <w:rsid w:val="00BC3156"/>
    <w:rsid w:val="00BC317B"/>
    <w:rsid w:val="00BF172C"/>
    <w:rsid w:val="00C05C35"/>
    <w:rsid w:val="00C14398"/>
    <w:rsid w:val="00C148DD"/>
    <w:rsid w:val="00C25390"/>
    <w:rsid w:val="00C407E9"/>
    <w:rsid w:val="00C41FAE"/>
    <w:rsid w:val="00C439D7"/>
    <w:rsid w:val="00C47412"/>
    <w:rsid w:val="00C52356"/>
    <w:rsid w:val="00C57390"/>
    <w:rsid w:val="00C9294D"/>
    <w:rsid w:val="00CA04C5"/>
    <w:rsid w:val="00CD1C09"/>
    <w:rsid w:val="00CD742A"/>
    <w:rsid w:val="00CF50F0"/>
    <w:rsid w:val="00CF7528"/>
    <w:rsid w:val="00D10A19"/>
    <w:rsid w:val="00D26C36"/>
    <w:rsid w:val="00D80FAB"/>
    <w:rsid w:val="00D87E29"/>
    <w:rsid w:val="00D96B94"/>
    <w:rsid w:val="00DC4830"/>
    <w:rsid w:val="00DF3FB6"/>
    <w:rsid w:val="00DF6653"/>
    <w:rsid w:val="00E01269"/>
    <w:rsid w:val="00E03E5D"/>
    <w:rsid w:val="00E06311"/>
    <w:rsid w:val="00E16756"/>
    <w:rsid w:val="00E41667"/>
    <w:rsid w:val="00E55E58"/>
    <w:rsid w:val="00E648C4"/>
    <w:rsid w:val="00E70641"/>
    <w:rsid w:val="00E71456"/>
    <w:rsid w:val="00E879C2"/>
    <w:rsid w:val="00ED49AA"/>
    <w:rsid w:val="00EE239A"/>
    <w:rsid w:val="00EE3CD2"/>
    <w:rsid w:val="00F259D9"/>
    <w:rsid w:val="00F406CC"/>
    <w:rsid w:val="00F41393"/>
    <w:rsid w:val="00F4553D"/>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customStyle="1" w:styleId="ApptoAnnex">
    <w:name w:val="App_to_Annex"/>
    <w:basedOn w:val="Normal"/>
    <w:next w:val="Normal"/>
    <w:qFormat/>
    <w:rsid w:val="009B1450"/>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styleId="Strong">
    <w:name w:val="Strong"/>
    <w:basedOn w:val="DefaultParagraphFont"/>
    <w:uiPriority w:val="22"/>
    <w:qFormat/>
    <w:rsid w:val="009B1450"/>
    <w:rPr>
      <w:b/>
      <w:bCs/>
    </w:rPr>
  </w:style>
  <w:style w:type="paragraph" w:customStyle="1" w:styleId="Volumetitle">
    <w:name w:val="Volume_title"/>
    <w:basedOn w:val="Normal"/>
    <w:qFormat/>
    <w:rsid w:val="009B1450"/>
    <w:pPr>
      <w:tabs>
        <w:tab w:val="left" w:pos="1134"/>
        <w:tab w:val="left" w:pos="1871"/>
        <w:tab w:val="left" w:pos="2268"/>
      </w:tabs>
      <w:overflowPunct w:val="0"/>
      <w:autoSpaceDE w:val="0"/>
      <w:autoSpaceDN w:val="0"/>
      <w:adjustRightInd w:val="0"/>
      <w:spacing w:before="120"/>
      <w:jc w:val="center"/>
    </w:pPr>
    <w:rPr>
      <w:b/>
      <w:bCs/>
      <w:sz w:val="28"/>
      <w:szCs w:val="28"/>
      <w:lang w:val="en-GB"/>
    </w:rPr>
  </w:style>
  <w:style w:type="paragraph" w:customStyle="1" w:styleId="ResNo">
    <w:name w:val="Res_No"/>
    <w:basedOn w:val="Normal"/>
    <w:next w:val="Normal"/>
    <w:rsid w:val="009B1450"/>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2.xml><?xml version="1.0" encoding="utf-8"?>
<ds:datastoreItem xmlns:ds="http://schemas.openxmlformats.org/officeDocument/2006/customXml" ds:itemID="{4A57E5D5-7ED4-4229-B0FF-D7A87A70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675</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 - ENGLISH VERSION</vt:lpstr>
    </vt:vector>
  </TitlesOfParts>
  <Company>CITEL</Company>
  <LinksUpToDate>false</LinksUpToDate>
  <CharactersWithSpaces>4851</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ENGLISH VERSION</dc:title>
  <dc:subject/>
  <dc:creator>CITEL</dc:creator>
  <cp:keywords/>
  <dc:description>VB</dc:description>
  <cp:lastModifiedBy>Brian Patten</cp:lastModifiedBy>
  <cp:revision>5</cp:revision>
  <cp:lastPrinted>1999-10-11T18:56:00Z</cp:lastPrinted>
  <dcterms:created xsi:type="dcterms:W3CDTF">2023-04-20T12:15:00Z</dcterms:created>
  <dcterms:modified xsi:type="dcterms:W3CDTF">2023-04-27T15:18:00Z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