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OEA/Ser.L/XVII.4.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33D498B6" w:rsidR="00DF6653" w:rsidRPr="008264D0" w:rsidRDefault="00DF6653" w:rsidP="008C70E1">
            <w:pPr>
              <w:rPr>
                <w:b/>
                <w:sz w:val="22"/>
                <w:szCs w:val="22"/>
              </w:rPr>
            </w:pPr>
            <w:r w:rsidRPr="008C70E1">
              <w:rPr>
                <w:b/>
                <w:sz w:val="22"/>
                <w:szCs w:val="22"/>
              </w:rPr>
              <w:t xml:space="preserve">Original: </w:t>
            </w:r>
            <w:r w:rsidR="00C216D6">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068CD53F" w:rsidR="00DF6653" w:rsidRPr="00C148DD" w:rsidRDefault="009B1450">
            <w:pPr>
              <w:spacing w:before="120"/>
              <w:jc w:val="center"/>
              <w:rPr>
                <w:b/>
                <w:caps/>
                <w:sz w:val="24"/>
                <w:szCs w:val="24"/>
              </w:rPr>
            </w:pPr>
            <w:r>
              <w:rPr>
                <w:b/>
                <w:caps/>
                <w:sz w:val="24"/>
                <w:szCs w:val="24"/>
              </w:rPr>
              <w:t xml:space="preserve">AGENDA ITEM </w:t>
            </w:r>
            <w:r w:rsidR="00827A12">
              <w:rPr>
                <w:b/>
                <w:caps/>
                <w:sz w:val="24"/>
                <w:szCs w:val="24"/>
              </w:rPr>
              <w:t>10</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718AEB4C"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(SGT-5)</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06B992B1" w:rsidR="00DF6653" w:rsidRPr="00C148DD" w:rsidRDefault="00DF6653" w:rsidP="005962C2">
            <w:pPr>
              <w:spacing w:before="120"/>
              <w:jc w:val="center"/>
              <w:rPr>
                <w:b/>
                <w:sz w:val="24"/>
                <w:szCs w:val="24"/>
              </w:rPr>
            </w:pPr>
            <w:r w:rsidRPr="00C148DD">
              <w:rPr>
                <w:b/>
                <w:sz w:val="24"/>
                <w:szCs w:val="24"/>
                <w:lang w:val="es-UY"/>
              </w:rPr>
              <w:t xml:space="preserve">(Document submitted by </w:t>
            </w:r>
            <w:r w:rsidR="00C216D6">
              <w:rPr>
                <w:b/>
                <w:sz w:val="24"/>
                <w:szCs w:val="24"/>
                <w:lang w:val="es-UY"/>
              </w:rPr>
              <w:t xml:space="preserve">the administration of </w:t>
            </w:r>
            <w:proofErr w:type="spellStart"/>
            <w:r w:rsidR="00C216D6">
              <w:rPr>
                <w:b/>
                <w:sz w:val="24"/>
                <w:szCs w:val="24"/>
                <w:lang w:val="es-UY"/>
              </w:rPr>
              <w:t>the</w:t>
            </w:r>
            <w:proofErr w:type="spellEnd"/>
            <w:r w:rsidR="00C216D6">
              <w:rPr>
                <w:b/>
                <w:sz w:val="24"/>
                <w:szCs w:val="24"/>
                <w:lang w:val="es-UY"/>
              </w:rPr>
              <w:t xml:space="preserve"> United States</w:t>
            </w:r>
            <w:r w:rsidR="00796061">
              <w:rPr>
                <w:b/>
                <w:sz w:val="24"/>
                <w:szCs w:val="24"/>
                <w:lang w:val="es-UY"/>
              </w:rPr>
              <w:t xml:space="preserve"> of </w:t>
            </w:r>
            <w:proofErr w:type="spellStart"/>
            <w:r w:rsidR="00796061">
              <w:rPr>
                <w:b/>
                <w:sz w:val="24"/>
                <w:szCs w:val="24"/>
                <w:lang w:val="es-UY"/>
              </w:rPr>
              <w:t>America</w:t>
            </w:r>
            <w:proofErr w:type="spellEnd"/>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56F3" w14:textId="5C63F0D9" w:rsidR="009B1450" w:rsidRPr="00221C84" w:rsidRDefault="00D226EC" w:rsidP="009B1450">
                            <w:pPr>
                              <w:pBdr>
                                <w:top w:val="single" w:sz="24" w:space="8" w:color="5B9BD5"/>
                                <w:bottom w:val="single" w:sz="24" w:space="8" w:color="5B9BD5"/>
                              </w:pBdr>
                              <w:rPr>
                                <w:b/>
                                <w:bCs/>
                                <w:iCs/>
                                <w:sz w:val="22"/>
                                <w:szCs w:val="22"/>
                              </w:rPr>
                            </w:pPr>
                            <w:r>
                              <w:rPr>
                                <w:iCs/>
                                <w:sz w:val="22"/>
                                <w:szCs w:val="22"/>
                              </w:rPr>
                              <w:t>Under agenda item 10, t</w:t>
                            </w:r>
                            <w:r w:rsidR="009B1450" w:rsidRPr="001B4D36">
                              <w:rPr>
                                <w:iCs/>
                                <w:sz w:val="22"/>
                                <w:szCs w:val="22"/>
                              </w:rPr>
                              <w:t>h</w:t>
                            </w:r>
                            <w:r w:rsidR="009B1450">
                              <w:rPr>
                                <w:iCs/>
                                <w:sz w:val="22"/>
                                <w:szCs w:val="22"/>
                              </w:rPr>
                              <w:t>e United States</w:t>
                            </w:r>
                            <w:r w:rsidR="003A2917">
                              <w:rPr>
                                <w:iCs/>
                                <w:sz w:val="22"/>
                                <w:szCs w:val="22"/>
                              </w:rPr>
                              <w:t xml:space="preserve"> proposes to suppress agenda item 2.13 from the preliminary WRC-27 agenda</w:t>
                            </w:r>
                            <w:r w:rsidR="00B11A67">
                              <w:rPr>
                                <w:iCs/>
                                <w:sz w:val="22"/>
                                <w:szCs w:val="22"/>
                              </w:rPr>
                              <w:t xml:space="preserve"> and the consequential suppression of Resolution </w:t>
                            </w:r>
                            <w:r w:rsidR="00B11A67" w:rsidRPr="00B11A67">
                              <w:rPr>
                                <w:b/>
                                <w:bCs/>
                                <w:iCs/>
                                <w:sz w:val="22"/>
                                <w:szCs w:val="22"/>
                              </w:rPr>
                              <w:t xml:space="preserve">248 </w:t>
                            </w:r>
                            <w:r w:rsidR="00B11A67">
                              <w:rPr>
                                <w:iCs/>
                                <w:sz w:val="22"/>
                                <w:szCs w:val="22"/>
                              </w:rPr>
                              <w:t>(</w:t>
                            </w:r>
                            <w:r w:rsidR="00B11A67" w:rsidRPr="00B11A67">
                              <w:rPr>
                                <w:b/>
                                <w:bCs/>
                                <w:iCs/>
                                <w:sz w:val="22"/>
                                <w:szCs w:val="22"/>
                              </w:rPr>
                              <w:t>WRC-19</w:t>
                            </w:r>
                            <w:r w:rsidR="00B11A67">
                              <w:rPr>
                                <w:iCs/>
                                <w:sz w:val="22"/>
                                <w:szCs w:val="22"/>
                              </w:rPr>
                              <w:t>) as it is no longer necessary.</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E30D7" id="_x0000_t202" coordsize="21600,21600" o:spt="202" path="m,l,21600r21600,l21600,xe">
                <v:stroke joinstyle="miter"/>
                <v:path gradientshapeok="t" o:connecttype="rect"/>
              </v:shapetype>
              <v:shape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ApxB9l4wAAABABAAAPAAAAZHJzL2Rvd25yZXYueG1sTI/LTsMwEEX3&#10;SPyDNUjsqJ2krWgap0JUbEEtD4mdG0+TiHgcxW4T/p7pqmxGuvO4c0+xmVwnzjiE1pOGZKZAIFXe&#10;tlRr+Hh/eXgEEaIhazpPqOEXA2zK25vC5NaPtMPzPtaCTSjkRkMTY59LGaoGnQkz3yPx7OgHZyLL&#10;oZZ2MCObu06mSi2lMy3xh8b0+Nxg9bM/OQ2fr8fvr7l6q7du0Y9+UpLcSmp9fzdt11ye1iAiTvF6&#10;ARcGzg8lBzv4E9kgOtbpkoGihnmWgbgsJMliBeLAnTTJQJaF/A9S/gEAAP//AwBQSwECLQAUAAYA&#10;CAAAACEAtoM4kv4AAADhAQAAEwAAAAAAAAAAAAAAAAAAAAAAW0NvbnRlbnRfVHlwZXNdLnhtbFBL&#10;AQItABQABgAIAAAAIQA4/SH/1gAAAJQBAAALAAAAAAAAAAAAAAAAAC8BAABfcmVscy8ucmVsc1BL&#10;AQItABQABgAIAAAAIQAIdZa35AEAAKkDAAAOAAAAAAAAAAAAAAAAAC4CAABkcnMvZTJvRG9jLnht&#10;bFBLAQItABQABgAIAAAAIQApxB9l4wAAABABAAAPAAAAAAAAAAAAAAAAAD4EAABkcnMvZG93bnJl&#10;di54bWxQSwUGAAAAAAQABADzAAAATgUAAAAA&#10;" filled="f" stroked="f">
                <v:textbox>
                  <w:txbxContent>
                    <w:p w14:paraId="28D656F3" w14:textId="5C63F0D9" w:rsidR="009B1450" w:rsidRPr="00221C84" w:rsidRDefault="00D226EC" w:rsidP="009B1450">
                      <w:pPr>
                        <w:pBdr>
                          <w:top w:val="single" w:sz="24" w:space="8" w:color="5B9BD5"/>
                          <w:bottom w:val="single" w:sz="24" w:space="8" w:color="5B9BD5"/>
                        </w:pBdr>
                        <w:rPr>
                          <w:b/>
                          <w:bCs/>
                          <w:iCs/>
                          <w:sz w:val="22"/>
                          <w:szCs w:val="22"/>
                        </w:rPr>
                      </w:pPr>
                      <w:r>
                        <w:rPr>
                          <w:iCs/>
                          <w:sz w:val="22"/>
                          <w:szCs w:val="22"/>
                        </w:rPr>
                        <w:t xml:space="preserve">Under agenda item 10, </w:t>
                      </w:r>
                      <w:r>
                        <w:rPr>
                          <w:iCs/>
                          <w:sz w:val="22"/>
                          <w:szCs w:val="22"/>
                        </w:rPr>
                        <w:t>t</w:t>
                      </w:r>
                      <w:r w:rsidR="009B1450" w:rsidRPr="001B4D36">
                        <w:rPr>
                          <w:iCs/>
                          <w:sz w:val="22"/>
                          <w:szCs w:val="22"/>
                        </w:rPr>
                        <w:t>h</w:t>
                      </w:r>
                      <w:r w:rsidR="009B1450">
                        <w:rPr>
                          <w:iCs/>
                          <w:sz w:val="22"/>
                          <w:szCs w:val="22"/>
                        </w:rPr>
                        <w:t>e United States</w:t>
                      </w:r>
                      <w:r w:rsidR="003A2917">
                        <w:rPr>
                          <w:iCs/>
                          <w:sz w:val="22"/>
                          <w:szCs w:val="22"/>
                        </w:rPr>
                        <w:t xml:space="preserve"> proposes to suppress agenda item 2.13 from the preliminary WRC-27 agenda</w:t>
                      </w:r>
                      <w:r w:rsidR="00B11A67">
                        <w:rPr>
                          <w:iCs/>
                          <w:sz w:val="22"/>
                          <w:szCs w:val="22"/>
                        </w:rPr>
                        <w:t xml:space="preserve"> and the consequential suppression of Resolution </w:t>
                      </w:r>
                      <w:r w:rsidR="00B11A67" w:rsidRPr="00B11A67">
                        <w:rPr>
                          <w:b/>
                          <w:bCs/>
                          <w:iCs/>
                          <w:sz w:val="22"/>
                          <w:szCs w:val="22"/>
                        </w:rPr>
                        <w:t xml:space="preserve">248 </w:t>
                      </w:r>
                      <w:r w:rsidR="00B11A67">
                        <w:rPr>
                          <w:iCs/>
                          <w:sz w:val="22"/>
                          <w:szCs w:val="22"/>
                        </w:rPr>
                        <w:t>(</w:t>
                      </w:r>
                      <w:r w:rsidR="00B11A67" w:rsidRPr="00B11A67">
                        <w:rPr>
                          <w:b/>
                          <w:bCs/>
                          <w:iCs/>
                          <w:sz w:val="22"/>
                          <w:szCs w:val="22"/>
                        </w:rPr>
                        <w:t>WRC-19</w:t>
                      </w:r>
                      <w:r w:rsidR="00B11A67">
                        <w:rPr>
                          <w:iCs/>
                          <w:sz w:val="22"/>
                          <w:szCs w:val="22"/>
                        </w:rPr>
                        <w:t>) as it is no longer necessary.</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2FC09DEA"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lastRenderedPageBreak/>
        <w:t>UNITED STATES OF AMERICA</w:t>
      </w:r>
    </w:p>
    <w:p w14:paraId="0B76D56E" w14:textId="77777777" w:rsidR="009B1450" w:rsidRPr="009B1450" w:rsidRDefault="009B1450" w:rsidP="009B1450">
      <w:pPr>
        <w:widowControl w:val="0"/>
        <w:autoSpaceDE w:val="0"/>
        <w:autoSpaceDN w:val="0"/>
        <w:adjustRightInd w:val="0"/>
        <w:rPr>
          <w:sz w:val="22"/>
          <w:szCs w:val="22"/>
        </w:rPr>
      </w:pPr>
    </w:p>
    <w:p w14:paraId="68E69202" w14:textId="5E200063"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707C47A4" w14:textId="77777777" w:rsidR="009B1450" w:rsidRPr="009B1450" w:rsidRDefault="009B1450" w:rsidP="009B1450">
      <w:pPr>
        <w:widowControl w:val="0"/>
        <w:autoSpaceDE w:val="0"/>
        <w:autoSpaceDN w:val="0"/>
        <w:adjustRightInd w:val="0"/>
        <w:rPr>
          <w:sz w:val="22"/>
          <w:szCs w:val="22"/>
        </w:rPr>
      </w:pPr>
    </w:p>
    <w:p w14:paraId="6AD55483" w14:textId="77777777" w:rsidR="009B1450" w:rsidRPr="009B1450" w:rsidRDefault="009B1450" w:rsidP="009B1450">
      <w:pPr>
        <w:widowControl w:val="0"/>
        <w:tabs>
          <w:tab w:val="left" w:pos="6576"/>
        </w:tabs>
        <w:autoSpaceDE w:val="0"/>
        <w:autoSpaceDN w:val="0"/>
        <w:adjustRightInd w:val="0"/>
        <w:rPr>
          <w:sz w:val="22"/>
          <w:szCs w:val="22"/>
        </w:rPr>
      </w:pPr>
      <w:r w:rsidRPr="009B1450">
        <w:rPr>
          <w:sz w:val="22"/>
          <w:szCs w:val="22"/>
        </w:rPr>
        <w:tab/>
      </w:r>
    </w:p>
    <w:p w14:paraId="60CE0CF8" w14:textId="77777777" w:rsidR="00827A12" w:rsidRPr="00827A12" w:rsidRDefault="00827A12" w:rsidP="00827A12">
      <w:pPr>
        <w:widowControl w:val="0"/>
        <w:jc w:val="center"/>
        <w:rPr>
          <w:b/>
          <w:sz w:val="22"/>
          <w:szCs w:val="22"/>
        </w:rPr>
      </w:pPr>
      <w:r w:rsidRPr="00827A12">
        <w:rPr>
          <w:b/>
          <w:sz w:val="22"/>
          <w:szCs w:val="22"/>
        </w:rPr>
        <w:t>Agenda Item 10</w:t>
      </w:r>
    </w:p>
    <w:p w14:paraId="5BD478E2" w14:textId="77777777" w:rsidR="00827A12" w:rsidRPr="00827A12" w:rsidRDefault="00827A12" w:rsidP="00827A12">
      <w:pPr>
        <w:jc w:val="center"/>
        <w:rPr>
          <w:b/>
          <w:bCs/>
          <w:sz w:val="22"/>
          <w:szCs w:val="22"/>
          <w:u w:val="single"/>
        </w:rPr>
      </w:pPr>
    </w:p>
    <w:p w14:paraId="012E5A6F" w14:textId="77777777" w:rsidR="00827A12" w:rsidRPr="00827A12" w:rsidRDefault="00827A12" w:rsidP="00827A12">
      <w:pPr>
        <w:rPr>
          <w:b/>
          <w:bCs/>
          <w:sz w:val="22"/>
          <w:szCs w:val="22"/>
        </w:rPr>
      </w:pPr>
      <w:r w:rsidRPr="00827A12">
        <w:rPr>
          <w:b/>
          <w:bCs/>
          <w:sz w:val="22"/>
          <w:szCs w:val="22"/>
        </w:rPr>
        <w:t>Discontinuation of agenda item 2.13 on the preliminary WRC-27 and the suppression of corresponding Resolution 248 (WRC</w:t>
      </w:r>
      <w:r w:rsidRPr="00827A12">
        <w:rPr>
          <w:b/>
          <w:bCs/>
          <w:sz w:val="22"/>
          <w:szCs w:val="22"/>
        </w:rPr>
        <w:noBreakHyphen/>
        <w:t>19)</w:t>
      </w:r>
    </w:p>
    <w:p w14:paraId="6A50101D" w14:textId="77777777" w:rsidR="00827A12" w:rsidRPr="00827A12" w:rsidRDefault="00827A12" w:rsidP="00827A12">
      <w:pPr>
        <w:spacing w:after="120"/>
        <w:rPr>
          <w:b/>
          <w:bCs/>
          <w:color w:val="000000"/>
          <w:sz w:val="22"/>
          <w:szCs w:val="22"/>
        </w:rPr>
      </w:pPr>
    </w:p>
    <w:p w14:paraId="1C8726CB" w14:textId="77777777" w:rsidR="00827A12" w:rsidRPr="00827A12" w:rsidRDefault="00827A12" w:rsidP="00827A12">
      <w:pPr>
        <w:spacing w:after="120"/>
        <w:rPr>
          <w:b/>
          <w:bCs/>
          <w:color w:val="000000"/>
          <w:sz w:val="22"/>
          <w:szCs w:val="22"/>
        </w:rPr>
      </w:pPr>
      <w:r w:rsidRPr="00827A12">
        <w:rPr>
          <w:b/>
          <w:bCs/>
          <w:color w:val="000000"/>
          <w:sz w:val="22"/>
          <w:szCs w:val="22"/>
        </w:rPr>
        <w:t xml:space="preserve">Background: </w:t>
      </w:r>
      <w:r w:rsidRPr="00827A12">
        <w:rPr>
          <w:b/>
          <w:bCs/>
          <w:color w:val="000000"/>
          <w:sz w:val="22"/>
          <w:szCs w:val="22"/>
        </w:rPr>
        <w:tab/>
      </w:r>
    </w:p>
    <w:p w14:paraId="6E4C5296" w14:textId="018A0557" w:rsidR="003A2917" w:rsidRDefault="00827A12" w:rsidP="00827A12">
      <w:pPr>
        <w:rPr>
          <w:sz w:val="22"/>
          <w:szCs w:val="22"/>
        </w:rPr>
      </w:pPr>
      <w:r w:rsidRPr="00827A12">
        <w:rPr>
          <w:sz w:val="22"/>
          <w:szCs w:val="22"/>
        </w:rPr>
        <w:t xml:space="preserve">Studies envisioned under WRC-23 agenda item 1.18 were intended to define conduct studies on spectrum and operational requirements as well as system characteristics of narrowband systems for the collection of data from, and management of, terrestrial devices in the MSS.  Key conditions of these narrowband MSS systems were defined in </w:t>
      </w:r>
      <w:r w:rsidRPr="00827A12">
        <w:rPr>
          <w:i/>
          <w:iCs/>
          <w:sz w:val="22"/>
          <w:szCs w:val="22"/>
        </w:rPr>
        <w:t>considering a</w:t>
      </w:r>
      <w:r w:rsidRPr="00827A12">
        <w:rPr>
          <w:sz w:val="22"/>
          <w:szCs w:val="22"/>
        </w:rPr>
        <w:t xml:space="preserve">) and </w:t>
      </w:r>
      <w:r w:rsidRPr="00827A12">
        <w:rPr>
          <w:i/>
          <w:iCs/>
          <w:sz w:val="22"/>
          <w:szCs w:val="22"/>
        </w:rPr>
        <w:t>recognizing c)</w:t>
      </w:r>
      <w:r w:rsidRPr="00827A12">
        <w:rPr>
          <w:sz w:val="22"/>
          <w:szCs w:val="22"/>
        </w:rPr>
        <w:t xml:space="preserve"> of Resolution</w:t>
      </w:r>
      <w:r w:rsidRPr="00827A12">
        <w:rPr>
          <w:b/>
          <w:bCs/>
          <w:sz w:val="22"/>
          <w:szCs w:val="22"/>
        </w:rPr>
        <w:t> 248 (WRC</w:t>
      </w:r>
      <w:r w:rsidRPr="00827A12">
        <w:rPr>
          <w:b/>
          <w:bCs/>
          <w:sz w:val="22"/>
          <w:szCs w:val="22"/>
        </w:rPr>
        <w:noBreakHyphen/>
        <w:t>19)</w:t>
      </w:r>
      <w:r w:rsidRPr="00827A12">
        <w:rPr>
          <w:sz w:val="22"/>
          <w:szCs w:val="22"/>
        </w:rPr>
        <w:t xml:space="preserve">. </w:t>
      </w:r>
      <w:r w:rsidRPr="00827A12">
        <w:rPr>
          <w:b/>
          <w:bCs/>
          <w:sz w:val="22"/>
          <w:szCs w:val="22"/>
        </w:rPr>
        <w:t xml:space="preserve"> </w:t>
      </w:r>
      <w:r w:rsidRPr="00827A12">
        <w:rPr>
          <w:sz w:val="22"/>
          <w:szCs w:val="22"/>
        </w:rPr>
        <w:t>These conditions were main elements needed for the sharing and compatibility studies with existing primary services to support the suitability of new allocations to the MSS.</w:t>
      </w:r>
      <w:r w:rsidR="003A2917">
        <w:rPr>
          <w:sz w:val="22"/>
          <w:szCs w:val="22"/>
        </w:rPr>
        <w:t xml:space="preserve">  </w:t>
      </w:r>
      <w:r w:rsidRPr="00827A12">
        <w:rPr>
          <w:sz w:val="22"/>
          <w:szCs w:val="22"/>
        </w:rPr>
        <w:t xml:space="preserve">Through the course of the study cycle, the responsible group for agenda item 1.18 was unable to agree on the representative narrowband MSS parameters mainly due to ambiguities in Resolution 248 (WRC-19). </w:t>
      </w:r>
    </w:p>
    <w:p w14:paraId="5AA8DD7A" w14:textId="77777777" w:rsidR="003A2917" w:rsidRDefault="003A2917" w:rsidP="00827A12">
      <w:pPr>
        <w:rPr>
          <w:sz w:val="22"/>
          <w:szCs w:val="22"/>
        </w:rPr>
      </w:pPr>
    </w:p>
    <w:p w14:paraId="699B1D52" w14:textId="01093E54" w:rsidR="00827A12" w:rsidRPr="00827A12" w:rsidRDefault="00827A12" w:rsidP="00827A12">
      <w:pPr>
        <w:rPr>
          <w:sz w:val="22"/>
          <w:szCs w:val="22"/>
        </w:rPr>
      </w:pPr>
      <w:r w:rsidRPr="00827A12">
        <w:rPr>
          <w:sz w:val="22"/>
          <w:szCs w:val="22"/>
        </w:rPr>
        <w:t xml:space="preserve">As a result, appropriate </w:t>
      </w:r>
      <w:proofErr w:type="gramStart"/>
      <w:r w:rsidRPr="00827A12">
        <w:rPr>
          <w:sz w:val="22"/>
          <w:szCs w:val="22"/>
        </w:rPr>
        <w:t>sharing</w:t>
      </w:r>
      <w:proofErr w:type="gramEnd"/>
      <w:r w:rsidRPr="00827A12">
        <w:rPr>
          <w:sz w:val="22"/>
          <w:szCs w:val="22"/>
        </w:rPr>
        <w:t xml:space="preserve"> and compatibility studies between narrowband MSS and incumbent services could not be considered under this agenda item. Consequently, the compatibility of narrowband MSS systems and the protection of incumbent services, both in-band and adjacent band, could not be determined or ensured. Accordingly, any potential new allocations to the MSS exclusively for the development of narrowband mobile-satellite systems is not possible. </w:t>
      </w:r>
    </w:p>
    <w:p w14:paraId="53F2E116" w14:textId="77777777" w:rsidR="003A2917" w:rsidRDefault="003A2917" w:rsidP="00827A12">
      <w:pPr>
        <w:rPr>
          <w:sz w:val="22"/>
          <w:szCs w:val="22"/>
        </w:rPr>
      </w:pPr>
    </w:p>
    <w:p w14:paraId="7EC0D34A" w14:textId="1B457DAC" w:rsidR="00827A12" w:rsidRPr="00827A12" w:rsidRDefault="00827A12" w:rsidP="00827A12">
      <w:pPr>
        <w:rPr>
          <w:sz w:val="22"/>
          <w:szCs w:val="22"/>
        </w:rPr>
      </w:pPr>
      <w:r w:rsidRPr="00827A12">
        <w:rPr>
          <w:sz w:val="22"/>
          <w:szCs w:val="22"/>
        </w:rPr>
        <w:t>Noting the difficulties encountered with studying new MSS allocations dedicated exclusively to specific narrowband systems or low data-rate technologies and the ambiguities contained in Resolution</w:t>
      </w:r>
      <w:r w:rsidRPr="00827A12">
        <w:rPr>
          <w:b/>
          <w:bCs/>
          <w:sz w:val="22"/>
          <w:szCs w:val="22"/>
        </w:rPr>
        <w:t> 248 (WRC</w:t>
      </w:r>
      <w:r w:rsidRPr="00827A12">
        <w:rPr>
          <w:b/>
          <w:bCs/>
          <w:sz w:val="22"/>
          <w:szCs w:val="22"/>
        </w:rPr>
        <w:noBreakHyphen/>
        <w:t>19)</w:t>
      </w:r>
      <w:r w:rsidRPr="00827A12">
        <w:rPr>
          <w:sz w:val="22"/>
          <w:szCs w:val="22"/>
        </w:rPr>
        <w:t xml:space="preserve"> it is proposed to discontinue consideration of preliminary WRC-27 agenda item 2.13 as follows:</w:t>
      </w:r>
    </w:p>
    <w:p w14:paraId="4676AB6E" w14:textId="77777777" w:rsidR="00827A12" w:rsidRPr="00827A12" w:rsidRDefault="00827A12" w:rsidP="00827A12">
      <w:pPr>
        <w:rPr>
          <w:b/>
          <w:bCs/>
          <w:sz w:val="22"/>
          <w:szCs w:val="22"/>
        </w:rPr>
      </w:pPr>
    </w:p>
    <w:p w14:paraId="519B6404" w14:textId="77777777" w:rsidR="00827A12" w:rsidRPr="00827A12" w:rsidRDefault="00827A12" w:rsidP="00827A12">
      <w:pPr>
        <w:rPr>
          <w:b/>
          <w:bCs/>
          <w:sz w:val="22"/>
          <w:szCs w:val="22"/>
        </w:rPr>
      </w:pPr>
      <w:r w:rsidRPr="00827A12">
        <w:rPr>
          <w:b/>
          <w:bCs/>
          <w:sz w:val="22"/>
          <w:szCs w:val="22"/>
        </w:rPr>
        <w:t>Proposals</w:t>
      </w:r>
    </w:p>
    <w:p w14:paraId="5158CB1D" w14:textId="77777777" w:rsidR="00827A12" w:rsidRPr="00827A12" w:rsidRDefault="00827A12" w:rsidP="00827A12">
      <w:pPr>
        <w:pStyle w:val="Proposal"/>
        <w:rPr>
          <w:rFonts w:hAnsi="Times New Roman"/>
          <w:sz w:val="22"/>
          <w:szCs w:val="22"/>
        </w:rPr>
      </w:pPr>
      <w:r w:rsidRPr="00827A12">
        <w:rPr>
          <w:rFonts w:hAnsi="Times New Roman"/>
          <w:sz w:val="22"/>
          <w:szCs w:val="22"/>
        </w:rPr>
        <w:t>SUP</w:t>
      </w:r>
      <w:r w:rsidRPr="00827A12">
        <w:rPr>
          <w:rFonts w:hAnsi="Times New Roman"/>
          <w:sz w:val="22"/>
          <w:szCs w:val="22"/>
        </w:rPr>
        <w:tab/>
        <w:t>USA/10 (No MSS NB)/1</w:t>
      </w:r>
    </w:p>
    <w:p w14:paraId="5674F352" w14:textId="77777777" w:rsidR="00827A12" w:rsidRPr="00827A12" w:rsidRDefault="00827A12" w:rsidP="00827A12">
      <w:pPr>
        <w:rPr>
          <w:sz w:val="22"/>
          <w:szCs w:val="22"/>
        </w:rPr>
      </w:pPr>
    </w:p>
    <w:p w14:paraId="5FA77E2F" w14:textId="77777777" w:rsidR="00827A12" w:rsidRPr="00827A12" w:rsidRDefault="00827A12" w:rsidP="00827A12">
      <w:pPr>
        <w:pStyle w:val="ResNo"/>
        <w:rPr>
          <w:sz w:val="22"/>
          <w:szCs w:val="22"/>
        </w:rPr>
      </w:pPr>
      <w:bookmarkStart w:id="0" w:name="_Toc39649639"/>
      <w:r w:rsidRPr="00827A12">
        <w:rPr>
          <w:sz w:val="22"/>
          <w:szCs w:val="22"/>
        </w:rPr>
        <w:t xml:space="preserve">RESOLUTION </w:t>
      </w:r>
      <w:r w:rsidRPr="00827A12">
        <w:rPr>
          <w:rStyle w:val="href"/>
          <w:sz w:val="22"/>
          <w:szCs w:val="22"/>
        </w:rPr>
        <w:t>812</w:t>
      </w:r>
      <w:r w:rsidRPr="00827A12">
        <w:rPr>
          <w:sz w:val="22"/>
          <w:szCs w:val="22"/>
        </w:rPr>
        <w:t xml:space="preserve"> (WRC-19)</w:t>
      </w:r>
      <w:bookmarkEnd w:id="0"/>
    </w:p>
    <w:p w14:paraId="37A0B268" w14:textId="77777777" w:rsidR="00827A12" w:rsidRPr="00827A12" w:rsidRDefault="00827A12" w:rsidP="00827A12">
      <w:pPr>
        <w:pStyle w:val="Restitle"/>
        <w:rPr>
          <w:rFonts w:ascii="Times New Roman" w:hAnsi="Times New Roman"/>
          <w:sz w:val="22"/>
          <w:szCs w:val="22"/>
        </w:rPr>
      </w:pPr>
      <w:bookmarkStart w:id="1" w:name="_Toc35789443"/>
      <w:bookmarkStart w:id="2" w:name="_Toc35857140"/>
      <w:bookmarkStart w:id="3" w:name="_Toc35877775"/>
      <w:bookmarkStart w:id="4" w:name="_Toc35963719"/>
      <w:bookmarkStart w:id="5" w:name="_Toc39649640"/>
      <w:r w:rsidRPr="00827A12">
        <w:rPr>
          <w:rFonts w:ascii="Times New Roman" w:hAnsi="Times New Roman"/>
          <w:sz w:val="22"/>
          <w:szCs w:val="22"/>
        </w:rPr>
        <w:t>Preliminary agenda for the 2027 World Radiocommunication Conference</w:t>
      </w:r>
      <w:bookmarkEnd w:id="1"/>
      <w:bookmarkEnd w:id="2"/>
      <w:bookmarkEnd w:id="3"/>
      <w:bookmarkEnd w:id="4"/>
      <w:bookmarkEnd w:id="5"/>
    </w:p>
    <w:p w14:paraId="2AE917C0" w14:textId="77777777" w:rsidR="00827A12" w:rsidRPr="00827A12" w:rsidRDefault="00827A12" w:rsidP="00827A12">
      <w:pPr>
        <w:pStyle w:val="Normalaftertitle"/>
        <w:rPr>
          <w:sz w:val="22"/>
          <w:szCs w:val="22"/>
        </w:rPr>
      </w:pPr>
    </w:p>
    <w:p w14:paraId="4B40DDAB" w14:textId="77777777" w:rsidR="00827A12" w:rsidRPr="00827A12" w:rsidRDefault="00827A12" w:rsidP="00827A12">
      <w:pPr>
        <w:pStyle w:val="Reasons"/>
        <w:rPr>
          <w:sz w:val="22"/>
          <w:szCs w:val="22"/>
        </w:rPr>
      </w:pPr>
      <w:r w:rsidRPr="00827A12">
        <w:rPr>
          <w:b/>
          <w:sz w:val="22"/>
          <w:szCs w:val="22"/>
        </w:rPr>
        <w:t>Reasons:</w:t>
      </w:r>
      <w:r w:rsidRPr="00827A12">
        <w:rPr>
          <w:sz w:val="22"/>
          <w:szCs w:val="22"/>
        </w:rPr>
        <w:tab/>
        <w:t xml:space="preserve">This Resolution must be suppressed, as WRC-23 will create a new Resolution that will include the agenda for WRC-27, and the United States proposes that </w:t>
      </w:r>
      <w:r w:rsidRPr="00827A12">
        <w:rPr>
          <w:i/>
          <w:iCs/>
          <w:sz w:val="22"/>
          <w:szCs w:val="22"/>
        </w:rPr>
        <w:t xml:space="preserve">resolves </w:t>
      </w:r>
      <w:r w:rsidRPr="00827A12">
        <w:rPr>
          <w:sz w:val="22"/>
          <w:szCs w:val="22"/>
        </w:rPr>
        <w:t xml:space="preserve">2.13 from Resolution </w:t>
      </w:r>
      <w:r w:rsidRPr="00827A12">
        <w:rPr>
          <w:b/>
          <w:bCs/>
          <w:sz w:val="22"/>
          <w:szCs w:val="22"/>
        </w:rPr>
        <w:t xml:space="preserve">812 (WRC-19) </w:t>
      </w:r>
      <w:r w:rsidRPr="00827A12">
        <w:rPr>
          <w:sz w:val="22"/>
          <w:szCs w:val="22"/>
        </w:rPr>
        <w:t>not be on that agenda.</w:t>
      </w:r>
    </w:p>
    <w:p w14:paraId="1284B673" w14:textId="77777777" w:rsidR="00827A12" w:rsidRPr="00827A12" w:rsidRDefault="00827A12" w:rsidP="00827A12">
      <w:pPr>
        <w:pStyle w:val="Proposal"/>
        <w:rPr>
          <w:rFonts w:hAnsi="Times New Roman"/>
          <w:sz w:val="22"/>
          <w:szCs w:val="22"/>
        </w:rPr>
      </w:pPr>
      <w:r w:rsidRPr="00827A12">
        <w:rPr>
          <w:rFonts w:hAnsi="Times New Roman"/>
          <w:sz w:val="22"/>
          <w:szCs w:val="22"/>
        </w:rPr>
        <w:t>SUP</w:t>
      </w:r>
      <w:r w:rsidRPr="00827A12">
        <w:rPr>
          <w:rFonts w:hAnsi="Times New Roman"/>
          <w:sz w:val="22"/>
          <w:szCs w:val="22"/>
        </w:rPr>
        <w:tab/>
        <w:t>USA/10 (No MSS NB)/2</w:t>
      </w:r>
    </w:p>
    <w:p w14:paraId="08581EA4" w14:textId="77777777" w:rsidR="00827A12" w:rsidRPr="00827A12" w:rsidRDefault="00827A12" w:rsidP="00827A12">
      <w:pPr>
        <w:rPr>
          <w:sz w:val="22"/>
          <w:szCs w:val="22"/>
        </w:rPr>
      </w:pPr>
    </w:p>
    <w:p w14:paraId="379C2A48" w14:textId="77777777" w:rsidR="00827A12" w:rsidRPr="00827A12" w:rsidRDefault="00827A12" w:rsidP="00827A12">
      <w:pPr>
        <w:jc w:val="center"/>
        <w:rPr>
          <w:rFonts w:eastAsiaTheme="minorHAnsi"/>
          <w:sz w:val="22"/>
          <w:szCs w:val="22"/>
        </w:rPr>
      </w:pPr>
      <w:r w:rsidRPr="00827A12">
        <w:rPr>
          <w:rFonts w:eastAsiaTheme="minorHAnsi"/>
          <w:sz w:val="22"/>
          <w:szCs w:val="22"/>
        </w:rPr>
        <w:t>RESOLUTION 248 (WRC-19)</w:t>
      </w:r>
    </w:p>
    <w:p w14:paraId="7D0EE88A" w14:textId="77777777" w:rsidR="00827A12" w:rsidRPr="00827A12" w:rsidRDefault="00827A12" w:rsidP="00827A12">
      <w:pPr>
        <w:pStyle w:val="Reasons"/>
        <w:jc w:val="center"/>
        <w:rPr>
          <w:rFonts w:eastAsiaTheme="minorHAnsi"/>
          <w:sz w:val="22"/>
          <w:szCs w:val="22"/>
        </w:rPr>
      </w:pPr>
      <w:r w:rsidRPr="00827A12">
        <w:rPr>
          <w:rFonts w:eastAsiaTheme="minorHAnsi"/>
          <w:sz w:val="22"/>
          <w:szCs w:val="22"/>
        </w:rPr>
        <w:lastRenderedPageBreak/>
        <w:t xml:space="preserve">Studies relating to spectrum needs and potential new allocations to the mobile satellite service in the frequency bands 1 695-1 710 MHz, 2 010-2 025 MHz, 3 300-3 315 MHz and 3 385-3 400 MHz for future development of narrowband </w:t>
      </w:r>
      <w:proofErr w:type="gramStart"/>
      <w:r w:rsidRPr="00827A12">
        <w:rPr>
          <w:rFonts w:eastAsiaTheme="minorHAnsi"/>
          <w:sz w:val="22"/>
          <w:szCs w:val="22"/>
        </w:rPr>
        <w:t>mobile-satellite</w:t>
      </w:r>
      <w:proofErr w:type="gramEnd"/>
      <w:r w:rsidRPr="00827A12">
        <w:rPr>
          <w:rFonts w:eastAsiaTheme="minorHAnsi"/>
          <w:sz w:val="22"/>
          <w:szCs w:val="22"/>
        </w:rPr>
        <w:t xml:space="preserve"> systems</w:t>
      </w:r>
    </w:p>
    <w:p w14:paraId="3FFBF4E9" w14:textId="77777777" w:rsidR="00827A12" w:rsidRPr="00827A12" w:rsidRDefault="00827A12" w:rsidP="00827A12">
      <w:pPr>
        <w:pStyle w:val="Reasons"/>
        <w:jc w:val="center"/>
        <w:rPr>
          <w:b/>
          <w:sz w:val="22"/>
          <w:szCs w:val="22"/>
        </w:rPr>
      </w:pPr>
    </w:p>
    <w:p w14:paraId="3FEF755F" w14:textId="77777777" w:rsidR="00827A12" w:rsidRPr="00827A12" w:rsidRDefault="00827A12" w:rsidP="00827A12">
      <w:pPr>
        <w:pStyle w:val="Reasons"/>
        <w:rPr>
          <w:sz w:val="22"/>
          <w:szCs w:val="22"/>
        </w:rPr>
      </w:pPr>
      <w:r w:rsidRPr="00827A12">
        <w:rPr>
          <w:b/>
          <w:sz w:val="22"/>
          <w:szCs w:val="22"/>
        </w:rPr>
        <w:t>Reasons:</w:t>
      </w:r>
      <w:r w:rsidRPr="00827A12">
        <w:rPr>
          <w:sz w:val="22"/>
          <w:szCs w:val="22"/>
        </w:rPr>
        <w:tab/>
        <w:t xml:space="preserve">Consequential to non-inclusion of </w:t>
      </w:r>
      <w:r w:rsidRPr="00827A12">
        <w:rPr>
          <w:i/>
          <w:iCs/>
          <w:sz w:val="22"/>
          <w:szCs w:val="22"/>
        </w:rPr>
        <w:t xml:space="preserve">resolves </w:t>
      </w:r>
      <w:r w:rsidRPr="00827A12">
        <w:rPr>
          <w:sz w:val="22"/>
          <w:szCs w:val="22"/>
        </w:rPr>
        <w:t>2.13 from the preliminary WRC-27 agenda on the WRC-27 agenda adopted by WRC-23.</w:t>
      </w:r>
    </w:p>
    <w:p w14:paraId="60769879" w14:textId="77777777" w:rsidR="00827A12" w:rsidRPr="00827A12" w:rsidRDefault="00827A12" w:rsidP="00827A12">
      <w:pPr>
        <w:rPr>
          <w:b/>
          <w:bCs/>
          <w:sz w:val="22"/>
          <w:szCs w:val="22"/>
        </w:rPr>
      </w:pPr>
    </w:p>
    <w:p w14:paraId="40C4476D" w14:textId="77777777" w:rsidR="00827A12" w:rsidRPr="00827A12" w:rsidRDefault="00827A12" w:rsidP="00827A12">
      <w:pPr>
        <w:rPr>
          <w:sz w:val="22"/>
          <w:szCs w:val="22"/>
        </w:rPr>
      </w:pPr>
    </w:p>
    <w:p w14:paraId="4EEB83EB" w14:textId="2C37F139" w:rsidR="00DF6653" w:rsidRPr="00827A12" w:rsidRDefault="00DF6653" w:rsidP="00827A12">
      <w:pPr>
        <w:widowControl w:val="0"/>
        <w:overflowPunct w:val="0"/>
        <w:autoSpaceDE w:val="0"/>
        <w:autoSpaceDN w:val="0"/>
        <w:adjustRightInd w:val="0"/>
        <w:ind w:right="440"/>
        <w:rPr>
          <w:b/>
          <w:bCs/>
          <w:sz w:val="22"/>
          <w:szCs w:val="22"/>
        </w:rPr>
      </w:pPr>
    </w:p>
    <w:sectPr w:rsidR="00DF6653" w:rsidRPr="00827A12"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BA2F" w14:textId="77777777" w:rsidR="00596D99" w:rsidRDefault="00596D99">
      <w:r>
        <w:separator/>
      </w:r>
    </w:p>
  </w:endnote>
  <w:endnote w:type="continuationSeparator" w:id="0">
    <w:p w14:paraId="7B24F273" w14:textId="77777777" w:rsidR="00596D99" w:rsidRDefault="0059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3803" w14:textId="77777777" w:rsidR="00596D99" w:rsidRDefault="00596D99">
      <w:r>
        <w:separator/>
      </w:r>
    </w:p>
  </w:footnote>
  <w:footnote w:type="continuationSeparator" w:id="0">
    <w:p w14:paraId="470CADBB" w14:textId="77777777" w:rsidR="00596D99" w:rsidRDefault="0059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4"/>
  </w:num>
  <w:num w:numId="4" w16cid:durableId="932054044">
    <w:abstractNumId w:val="1"/>
  </w:num>
  <w:num w:numId="5" w16cid:durableId="139343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9082A"/>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33132"/>
    <w:rsid w:val="0024202E"/>
    <w:rsid w:val="0025504C"/>
    <w:rsid w:val="002909CF"/>
    <w:rsid w:val="002A6325"/>
    <w:rsid w:val="003001F7"/>
    <w:rsid w:val="003154A6"/>
    <w:rsid w:val="0031615C"/>
    <w:rsid w:val="00357A92"/>
    <w:rsid w:val="003701A5"/>
    <w:rsid w:val="00375A06"/>
    <w:rsid w:val="00394C7C"/>
    <w:rsid w:val="003A2917"/>
    <w:rsid w:val="003B26CD"/>
    <w:rsid w:val="003E5BF0"/>
    <w:rsid w:val="00421E79"/>
    <w:rsid w:val="00426E20"/>
    <w:rsid w:val="0043042C"/>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96D99"/>
    <w:rsid w:val="005A57AD"/>
    <w:rsid w:val="005B391F"/>
    <w:rsid w:val="005B5405"/>
    <w:rsid w:val="005B6C85"/>
    <w:rsid w:val="005C4FF3"/>
    <w:rsid w:val="005C60FF"/>
    <w:rsid w:val="005E2C5E"/>
    <w:rsid w:val="00620569"/>
    <w:rsid w:val="006445B1"/>
    <w:rsid w:val="00662EE2"/>
    <w:rsid w:val="00683D91"/>
    <w:rsid w:val="00686D89"/>
    <w:rsid w:val="00696717"/>
    <w:rsid w:val="006C2785"/>
    <w:rsid w:val="006D315B"/>
    <w:rsid w:val="006D63BD"/>
    <w:rsid w:val="006E16A4"/>
    <w:rsid w:val="006F3040"/>
    <w:rsid w:val="007043EB"/>
    <w:rsid w:val="00762C5B"/>
    <w:rsid w:val="007907D1"/>
    <w:rsid w:val="00796061"/>
    <w:rsid w:val="007A0652"/>
    <w:rsid w:val="007C4674"/>
    <w:rsid w:val="007C70B1"/>
    <w:rsid w:val="00804806"/>
    <w:rsid w:val="00825084"/>
    <w:rsid w:val="0082548B"/>
    <w:rsid w:val="008264D0"/>
    <w:rsid w:val="00827A12"/>
    <w:rsid w:val="008325E6"/>
    <w:rsid w:val="00835CCA"/>
    <w:rsid w:val="00840D79"/>
    <w:rsid w:val="0084584A"/>
    <w:rsid w:val="00855704"/>
    <w:rsid w:val="00857D7C"/>
    <w:rsid w:val="008819AD"/>
    <w:rsid w:val="00897200"/>
    <w:rsid w:val="008A61D6"/>
    <w:rsid w:val="008B0BA9"/>
    <w:rsid w:val="008B66E9"/>
    <w:rsid w:val="008C70E1"/>
    <w:rsid w:val="008F141E"/>
    <w:rsid w:val="008F2196"/>
    <w:rsid w:val="0096041A"/>
    <w:rsid w:val="009762A5"/>
    <w:rsid w:val="0097711D"/>
    <w:rsid w:val="009801AE"/>
    <w:rsid w:val="00982377"/>
    <w:rsid w:val="00986B91"/>
    <w:rsid w:val="009B1450"/>
    <w:rsid w:val="009B3A10"/>
    <w:rsid w:val="009B3A2A"/>
    <w:rsid w:val="009B7B6A"/>
    <w:rsid w:val="009E427F"/>
    <w:rsid w:val="009E64C9"/>
    <w:rsid w:val="00A0122F"/>
    <w:rsid w:val="00A339A9"/>
    <w:rsid w:val="00A36BD9"/>
    <w:rsid w:val="00A4159C"/>
    <w:rsid w:val="00A464BB"/>
    <w:rsid w:val="00A51807"/>
    <w:rsid w:val="00A6371A"/>
    <w:rsid w:val="00AA2672"/>
    <w:rsid w:val="00AB17C2"/>
    <w:rsid w:val="00AC0FEE"/>
    <w:rsid w:val="00B11A67"/>
    <w:rsid w:val="00B3194A"/>
    <w:rsid w:val="00B335FC"/>
    <w:rsid w:val="00B42446"/>
    <w:rsid w:val="00B47FB3"/>
    <w:rsid w:val="00B52A9B"/>
    <w:rsid w:val="00B63DC3"/>
    <w:rsid w:val="00B64C14"/>
    <w:rsid w:val="00B71FAB"/>
    <w:rsid w:val="00B83494"/>
    <w:rsid w:val="00B91A68"/>
    <w:rsid w:val="00BC3156"/>
    <w:rsid w:val="00BC317B"/>
    <w:rsid w:val="00BF172C"/>
    <w:rsid w:val="00C05C35"/>
    <w:rsid w:val="00C14398"/>
    <w:rsid w:val="00C148DD"/>
    <w:rsid w:val="00C216D6"/>
    <w:rsid w:val="00C407E9"/>
    <w:rsid w:val="00C41FAE"/>
    <w:rsid w:val="00C439D7"/>
    <w:rsid w:val="00C47412"/>
    <w:rsid w:val="00C52356"/>
    <w:rsid w:val="00C57390"/>
    <w:rsid w:val="00C9294D"/>
    <w:rsid w:val="00CA04C5"/>
    <w:rsid w:val="00CD1C09"/>
    <w:rsid w:val="00CD742A"/>
    <w:rsid w:val="00CF50F0"/>
    <w:rsid w:val="00CF7528"/>
    <w:rsid w:val="00D10A19"/>
    <w:rsid w:val="00D226EC"/>
    <w:rsid w:val="00D26C36"/>
    <w:rsid w:val="00D80FAB"/>
    <w:rsid w:val="00D87E29"/>
    <w:rsid w:val="00D96B94"/>
    <w:rsid w:val="00DC4830"/>
    <w:rsid w:val="00DE623B"/>
    <w:rsid w:val="00DF3FB6"/>
    <w:rsid w:val="00DF6653"/>
    <w:rsid w:val="00E01269"/>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link w:val="ResNoChar"/>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customStyle="1" w:styleId="Proposal">
    <w:name w:val="Proposal"/>
    <w:basedOn w:val="Normal"/>
    <w:next w:val="Normal"/>
    <w:link w:val="ProposalChar"/>
    <w:rsid w:val="00827A12"/>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827A12"/>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Restitle">
    <w:name w:val="Res_title"/>
    <w:basedOn w:val="Normal"/>
    <w:next w:val="Normal"/>
    <w:link w:val="RestitleChar"/>
    <w:rsid w:val="00827A12"/>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href">
    <w:name w:val="href"/>
    <w:basedOn w:val="DefaultParagraphFont"/>
    <w:rsid w:val="00827A12"/>
  </w:style>
  <w:style w:type="character" w:customStyle="1" w:styleId="RestitleChar">
    <w:name w:val="Res_title Char"/>
    <w:link w:val="Restitle"/>
    <w:locked/>
    <w:rsid w:val="00827A12"/>
    <w:rPr>
      <w:rFonts w:ascii="Times New Roman Bold" w:hAnsi="Times New Roman Bold"/>
      <w:b/>
      <w:sz w:val="28"/>
      <w:lang w:val="en-GB"/>
    </w:rPr>
  </w:style>
  <w:style w:type="character" w:customStyle="1" w:styleId="ProposalChar">
    <w:name w:val="Proposal Char"/>
    <w:link w:val="Proposal"/>
    <w:locked/>
    <w:rsid w:val="00827A12"/>
    <w:rPr>
      <w:rFonts w:hAnsi="Times New Roman Bold"/>
      <w:b/>
      <w:sz w:val="24"/>
      <w:lang w:val="en-GB"/>
    </w:rPr>
  </w:style>
  <w:style w:type="paragraph" w:customStyle="1" w:styleId="Normalaftertitle">
    <w:name w:val="Normal after title"/>
    <w:basedOn w:val="Normal"/>
    <w:next w:val="Normal"/>
    <w:link w:val="NormalaftertitleChar"/>
    <w:qFormat/>
    <w:rsid w:val="00827A12"/>
    <w:pPr>
      <w:tabs>
        <w:tab w:val="left" w:pos="1134"/>
        <w:tab w:val="left" w:pos="1871"/>
        <w:tab w:val="left" w:pos="2268"/>
      </w:tabs>
      <w:overflowPunct w:val="0"/>
      <w:autoSpaceDE w:val="0"/>
      <w:autoSpaceDN w:val="0"/>
      <w:adjustRightInd w:val="0"/>
      <w:spacing w:before="280"/>
      <w:jc w:val="both"/>
      <w:textAlignment w:val="baseline"/>
    </w:pPr>
    <w:rPr>
      <w:sz w:val="24"/>
      <w:lang w:val="en-GB"/>
    </w:rPr>
  </w:style>
  <w:style w:type="character" w:customStyle="1" w:styleId="NormalaftertitleChar">
    <w:name w:val="Normal after title Char"/>
    <w:basedOn w:val="DefaultParagraphFont"/>
    <w:link w:val="Normalaftertitle"/>
    <w:qFormat/>
    <w:rsid w:val="00827A12"/>
    <w:rPr>
      <w:sz w:val="24"/>
      <w:lang w:val="en-GB"/>
    </w:rPr>
  </w:style>
  <w:style w:type="character" w:customStyle="1" w:styleId="ResNoChar">
    <w:name w:val="Res_No Char"/>
    <w:link w:val="ResNo"/>
    <w:rsid w:val="00827A12"/>
    <w:rPr>
      <w:caps/>
      <w:sz w:val="28"/>
      <w:lang w:val="en-GB"/>
    </w:rPr>
  </w:style>
  <w:style w:type="character" w:customStyle="1" w:styleId="ReasonsChar">
    <w:name w:val="Reasons Char"/>
    <w:link w:val="Reasons"/>
    <w:rsid w:val="00827A12"/>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438</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3041</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6</cp:revision>
  <cp:lastPrinted>1999-10-11T18:56:00Z</cp:lastPrinted>
  <dcterms:created xsi:type="dcterms:W3CDTF">2023-04-26T16:19:00Z</dcterms:created>
  <dcterms:modified xsi:type="dcterms:W3CDTF">2023-04-27T15:25:00Z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