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29DA146B" w:rsidR="008C70E1" w:rsidRPr="002B4C07" w:rsidRDefault="007122E0" w:rsidP="007122E0">
            <w:pPr>
              <w:rPr>
                <w:b/>
                <w:sz w:val="22"/>
                <w:szCs w:val="22"/>
              </w:rPr>
            </w:pPr>
            <w:r w:rsidRPr="008C70E1">
              <w:rPr>
                <w:b/>
                <w:sz w:val="22"/>
                <w:szCs w:val="22"/>
              </w:rPr>
              <w:t xml:space="preserve">CCP.II-RADIO /doc. </w:t>
            </w:r>
            <w:r w:rsidR="00861457">
              <w:rPr>
                <w:b/>
                <w:sz w:val="22"/>
                <w:szCs w:val="22"/>
              </w:rPr>
              <w:t>5899</w:t>
            </w:r>
            <w:r w:rsidR="00DF6653" w:rsidRPr="002B4C07">
              <w:rPr>
                <w:b/>
                <w:sz w:val="22"/>
                <w:szCs w:val="22"/>
              </w:rPr>
              <w:t>/</w:t>
            </w:r>
            <w:r w:rsidR="0031615C" w:rsidRPr="002B4C07">
              <w:rPr>
                <w:b/>
                <w:sz w:val="22"/>
                <w:szCs w:val="22"/>
              </w:rPr>
              <w:t>2</w:t>
            </w:r>
            <w:r>
              <w:rPr>
                <w:b/>
                <w:sz w:val="22"/>
                <w:szCs w:val="22"/>
              </w:rPr>
              <w:t>3</w:t>
            </w:r>
          </w:p>
          <w:p w14:paraId="508E4034" w14:textId="01E8E294" w:rsidR="008C70E1" w:rsidRPr="002B4C07" w:rsidRDefault="007122E0" w:rsidP="008C70E1">
            <w:pPr>
              <w:rPr>
                <w:b/>
                <w:sz w:val="22"/>
                <w:szCs w:val="22"/>
              </w:rPr>
            </w:pPr>
            <w:r>
              <w:rPr>
                <w:b/>
                <w:sz w:val="22"/>
                <w:szCs w:val="22"/>
              </w:rPr>
              <w:t>0</w:t>
            </w:r>
            <w:r w:rsidR="00861457">
              <w:rPr>
                <w:b/>
                <w:sz w:val="22"/>
                <w:szCs w:val="22"/>
              </w:rPr>
              <w:t>6</w:t>
            </w:r>
            <w:r w:rsidR="00823D27" w:rsidRPr="002B4C07">
              <w:rPr>
                <w:b/>
                <w:sz w:val="22"/>
                <w:szCs w:val="22"/>
              </w:rPr>
              <w:t xml:space="preserve"> </w:t>
            </w:r>
            <w:r>
              <w:rPr>
                <w:b/>
                <w:sz w:val="22"/>
                <w:szCs w:val="22"/>
              </w:rPr>
              <w:t>August</w:t>
            </w:r>
            <w:r w:rsidR="008C70E1" w:rsidRPr="002B4C07">
              <w:rPr>
                <w:b/>
                <w:sz w:val="22"/>
                <w:szCs w:val="22"/>
              </w:rPr>
              <w:t xml:space="preserve"> 202</w:t>
            </w:r>
            <w:r>
              <w:rPr>
                <w:b/>
                <w:sz w:val="22"/>
                <w:szCs w:val="22"/>
              </w:rPr>
              <w:t>3</w:t>
            </w:r>
          </w:p>
          <w:p w14:paraId="35D56372" w14:textId="69FA70A7" w:rsidR="00DF6653" w:rsidRPr="002B4C07" w:rsidRDefault="00DF6653" w:rsidP="008C70E1">
            <w:pPr>
              <w:rPr>
                <w:b/>
                <w:sz w:val="22"/>
                <w:szCs w:val="22"/>
              </w:rPr>
            </w:pPr>
            <w:r w:rsidRPr="002B4C07">
              <w:rPr>
                <w:b/>
                <w:sz w:val="22"/>
                <w:szCs w:val="22"/>
              </w:rPr>
              <w:t xml:space="preserve">Original: </w:t>
            </w:r>
            <w:r w:rsidR="00861457">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22DB5" w:rsidRDefault="00DF6653" w:rsidP="00222DB5">
            <w:pPr>
              <w:jc w:val="center"/>
              <w:rPr>
                <w:bCs/>
                <w:sz w:val="24"/>
                <w:szCs w:val="24"/>
              </w:rPr>
            </w:pPr>
          </w:p>
          <w:p w14:paraId="6191E97B" w14:textId="77777777" w:rsidR="00DF6653" w:rsidRPr="00222DB5" w:rsidRDefault="00DF6653" w:rsidP="00222DB5">
            <w:pPr>
              <w:jc w:val="center"/>
              <w:rPr>
                <w:bCs/>
                <w:sz w:val="24"/>
                <w:szCs w:val="24"/>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1A075A4F" w:rsidR="00DF6653" w:rsidRPr="00222DB5" w:rsidRDefault="00222DB5" w:rsidP="00222DB5">
            <w:pPr>
              <w:jc w:val="center"/>
              <w:rPr>
                <w:b/>
                <w:sz w:val="24"/>
                <w:szCs w:val="24"/>
              </w:rPr>
            </w:pPr>
            <w:r w:rsidRPr="00222DB5">
              <w:rPr>
                <w:b/>
                <w:sz w:val="24"/>
                <w:szCs w:val="24"/>
              </w:rPr>
              <w:t>PROPOSALS FOR THE WORK OF THE CONFERENCE AGENDA ITEM 10 – C BAND ISS</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05BF304A" w:rsidR="00DF6653" w:rsidRPr="002B4C07" w:rsidRDefault="00DF6653" w:rsidP="00620569">
            <w:pPr>
              <w:spacing w:before="120"/>
              <w:jc w:val="center"/>
              <w:rPr>
                <w:b/>
                <w:sz w:val="24"/>
              </w:rPr>
            </w:pPr>
            <w:r w:rsidRPr="002B4C07">
              <w:rPr>
                <w:b/>
                <w:sz w:val="24"/>
              </w:rPr>
              <w:t xml:space="preserve">(Item on the Agenda: </w:t>
            </w:r>
            <w:r w:rsidR="00A92F2B" w:rsidRPr="00575145">
              <w:rPr>
                <w:b/>
                <w:sz w:val="24"/>
                <w:szCs w:val="24"/>
              </w:rPr>
              <w:t>3.1 (SGT-5)</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146029FD" w:rsidR="00DF6653" w:rsidRPr="002B4C07" w:rsidRDefault="00DF6653" w:rsidP="005962C2">
            <w:pPr>
              <w:spacing w:before="120"/>
              <w:jc w:val="center"/>
              <w:rPr>
                <w:b/>
                <w:sz w:val="24"/>
              </w:rPr>
            </w:pPr>
            <w:r w:rsidRPr="002B4C07">
              <w:rPr>
                <w:b/>
                <w:sz w:val="24"/>
              </w:rPr>
              <w:t xml:space="preserve">(Document submitted by </w:t>
            </w:r>
            <w:r w:rsidR="00575145" w:rsidRPr="00575145">
              <w:rPr>
                <w:b/>
                <w:sz w:val="24"/>
              </w:rPr>
              <w:t>the delegation of the United States of America)</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2B4C07"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09D585AD" w14:textId="2B2D3706" w:rsidR="002B4C07" w:rsidRPr="002B4C07" w:rsidRDefault="000841B9">
            <w:pPr>
              <w:tabs>
                <w:tab w:val="left" w:pos="699"/>
                <w:tab w:val="left" w:pos="1080"/>
                <w:tab w:val="left" w:pos="7257"/>
                <w:tab w:val="left" w:pos="7920"/>
                <w:tab w:val="left" w:pos="8508"/>
                <w:tab w:val="left" w:pos="9216"/>
              </w:tabs>
              <w:spacing w:before="120" w:after="120"/>
              <w:jc w:val="both"/>
              <w:rPr>
                <w:bCs/>
              </w:rPr>
            </w:pPr>
            <w:r w:rsidRPr="00C0657C">
              <w:rPr>
                <w:iCs/>
                <w:sz w:val="22"/>
                <w:szCs w:val="22"/>
              </w:rPr>
              <w:t>This document supports the work of CITEL’s PCC.II Working Group for WRC under 3.1 of the agenda</w:t>
            </w:r>
            <w:r>
              <w:rPr>
                <w:iCs/>
                <w:sz w:val="22"/>
                <w:szCs w:val="22"/>
              </w:rPr>
              <w:t>.</w:t>
            </w:r>
          </w:p>
        </w:tc>
      </w:tr>
    </w:tbl>
    <w:p w14:paraId="4CABF852" w14:textId="77777777" w:rsidR="002B4C07" w:rsidRPr="002B4C07" w:rsidRDefault="002B4C07" w:rsidP="002B4C07">
      <w:pPr>
        <w:rPr>
          <w:sz w:val="22"/>
        </w:rPr>
      </w:pPr>
    </w:p>
    <w:p w14:paraId="7C624704" w14:textId="77777777" w:rsidR="002B4C07" w:rsidRPr="002B4C07" w:rsidRDefault="002B4C07" w:rsidP="002B4C07"/>
    <w:tbl>
      <w:tblPr>
        <w:tblStyle w:val="TableGrid"/>
        <w:tblW w:w="9396" w:type="dxa"/>
        <w:tblInd w:w="0" w:type="dxa"/>
        <w:tblLook w:val="04A0" w:firstRow="1" w:lastRow="0" w:firstColumn="1" w:lastColumn="0" w:noHBand="0" w:noVBand="1"/>
      </w:tblPr>
      <w:tblGrid>
        <w:gridCol w:w="9396"/>
      </w:tblGrid>
      <w:tr w:rsidR="002B4C07" w:rsidRPr="002B4C07"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7D7469" w:rsidRDefault="002B4C07">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2B4C07" w:rsidRPr="002B4C07"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29B68C4F" w14:textId="2D5105A7" w:rsidR="002B4C07" w:rsidRPr="002B4C07" w:rsidRDefault="001B2B99">
            <w:pPr>
              <w:tabs>
                <w:tab w:val="left" w:pos="699"/>
                <w:tab w:val="left" w:pos="1080"/>
                <w:tab w:val="left" w:pos="7257"/>
                <w:tab w:val="left" w:pos="7920"/>
                <w:tab w:val="left" w:pos="8508"/>
                <w:tab w:val="left" w:pos="9216"/>
              </w:tabs>
              <w:spacing w:before="120" w:after="120"/>
              <w:jc w:val="both"/>
              <w:rPr>
                <w:bCs/>
              </w:rPr>
            </w:pPr>
            <w:r w:rsidRPr="001B4D36">
              <w:rPr>
                <w:iCs/>
                <w:sz w:val="22"/>
                <w:szCs w:val="22"/>
              </w:rPr>
              <w:t xml:space="preserve">This contribution </w:t>
            </w:r>
            <w:r>
              <w:rPr>
                <w:iCs/>
                <w:sz w:val="22"/>
                <w:szCs w:val="22"/>
              </w:rPr>
              <w:t xml:space="preserve">is a preliminary proposal towards an agenda item 10 for the WRC-27 agenda. </w:t>
            </w:r>
            <w:r w:rsidRPr="008C5656">
              <w:rPr>
                <w:iCs/>
                <w:sz w:val="22"/>
                <w:szCs w:val="22"/>
              </w:rPr>
              <w:t>This proposal seeks to study the sharing and compatibility of adding inter-satellite service allocation in the frequency bands 3 700-4 200 MHz (space-to-Earth) and 5 925-6 425 MHz (Earth-to-space) for non-GSO user space stations operating at lower orbital altitudes, in communication with GSO satellites in the fixed-satellite service</w:t>
            </w:r>
            <w:r>
              <w:rPr>
                <w:iCs/>
                <w:sz w:val="22"/>
                <w:szCs w:val="22"/>
              </w:rPr>
              <w:t>.</w:t>
            </w:r>
          </w:p>
        </w:tc>
      </w:tr>
    </w:tbl>
    <w:p w14:paraId="13D5BF3E" w14:textId="77777777" w:rsidR="002B4C07" w:rsidRPr="002B4C07" w:rsidRDefault="002B4C07" w:rsidP="002B4C07">
      <w:pPr>
        <w:tabs>
          <w:tab w:val="left" w:pos="1500"/>
        </w:tabs>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41FA9369" w14:textId="4E863C7F" w:rsidR="004566B8" w:rsidRPr="002B4C07" w:rsidRDefault="004566B8" w:rsidP="00EE3CD2">
      <w:pPr>
        <w:rPr>
          <w:sz w:val="24"/>
        </w:rPr>
      </w:pPr>
      <w:r w:rsidRPr="002B4C07">
        <w:rPr>
          <w:sz w:val="24"/>
        </w:rPr>
        <w:br w:type="page"/>
      </w:r>
    </w:p>
    <w:p w14:paraId="01FD4E03" w14:textId="77777777" w:rsidR="00833D80" w:rsidRPr="00A86A87" w:rsidRDefault="00833D80" w:rsidP="00833D80">
      <w:pPr>
        <w:widowControl w:val="0"/>
        <w:autoSpaceDE w:val="0"/>
        <w:autoSpaceDN w:val="0"/>
        <w:adjustRightInd w:val="0"/>
        <w:jc w:val="center"/>
        <w:rPr>
          <w:sz w:val="22"/>
          <w:szCs w:val="22"/>
        </w:rPr>
      </w:pPr>
      <w:r w:rsidRPr="00A86A87">
        <w:rPr>
          <w:b/>
          <w:bCs/>
          <w:sz w:val="22"/>
          <w:szCs w:val="22"/>
        </w:rPr>
        <w:lastRenderedPageBreak/>
        <w:t>UNITED STATES OF AMERICA</w:t>
      </w:r>
    </w:p>
    <w:p w14:paraId="6DA674FF" w14:textId="77777777" w:rsidR="00833D80" w:rsidRPr="00A86A87" w:rsidRDefault="00833D80" w:rsidP="00833D80">
      <w:pPr>
        <w:widowControl w:val="0"/>
        <w:autoSpaceDE w:val="0"/>
        <w:autoSpaceDN w:val="0"/>
        <w:adjustRightInd w:val="0"/>
        <w:rPr>
          <w:sz w:val="22"/>
          <w:szCs w:val="22"/>
        </w:rPr>
      </w:pPr>
    </w:p>
    <w:p w14:paraId="25E3456A" w14:textId="77777777" w:rsidR="00833D80" w:rsidRPr="00A86A87" w:rsidRDefault="00833D80" w:rsidP="00833D80">
      <w:pPr>
        <w:widowControl w:val="0"/>
        <w:autoSpaceDE w:val="0"/>
        <w:autoSpaceDN w:val="0"/>
        <w:adjustRightInd w:val="0"/>
        <w:jc w:val="center"/>
        <w:rPr>
          <w:sz w:val="22"/>
          <w:szCs w:val="22"/>
        </w:rPr>
      </w:pPr>
      <w:r w:rsidRPr="00A86A87">
        <w:rPr>
          <w:b/>
          <w:bCs/>
          <w:sz w:val="22"/>
          <w:szCs w:val="22"/>
        </w:rPr>
        <w:t>PROPOSALS FOR THE WORK OF THE CONFERENCE</w:t>
      </w:r>
    </w:p>
    <w:p w14:paraId="1AEAB7C5" w14:textId="77777777" w:rsidR="00833D80" w:rsidRPr="00A86A87" w:rsidRDefault="00833D80" w:rsidP="00833D80">
      <w:pPr>
        <w:widowControl w:val="0"/>
        <w:autoSpaceDE w:val="0"/>
        <w:autoSpaceDN w:val="0"/>
        <w:adjustRightInd w:val="0"/>
        <w:rPr>
          <w:sz w:val="22"/>
          <w:szCs w:val="22"/>
        </w:rPr>
      </w:pPr>
    </w:p>
    <w:p w14:paraId="3998C640" w14:textId="77777777" w:rsidR="00833D80" w:rsidRPr="00A86A87" w:rsidRDefault="00833D80" w:rsidP="00833D80">
      <w:pPr>
        <w:widowControl w:val="0"/>
        <w:tabs>
          <w:tab w:val="left" w:pos="6576"/>
        </w:tabs>
        <w:autoSpaceDE w:val="0"/>
        <w:autoSpaceDN w:val="0"/>
        <w:adjustRightInd w:val="0"/>
        <w:rPr>
          <w:sz w:val="22"/>
          <w:szCs w:val="22"/>
        </w:rPr>
      </w:pPr>
      <w:r w:rsidRPr="00A86A87">
        <w:rPr>
          <w:sz w:val="22"/>
          <w:szCs w:val="22"/>
        </w:rPr>
        <w:tab/>
      </w:r>
    </w:p>
    <w:p w14:paraId="34FA5C3E" w14:textId="77777777" w:rsidR="00833D80" w:rsidRPr="00A86A87" w:rsidRDefault="00833D80" w:rsidP="00833D80">
      <w:pPr>
        <w:jc w:val="center"/>
        <w:rPr>
          <w:sz w:val="22"/>
          <w:szCs w:val="22"/>
        </w:rPr>
      </w:pPr>
      <w:r w:rsidRPr="00A86A87">
        <w:rPr>
          <w:sz w:val="22"/>
          <w:szCs w:val="22"/>
        </w:rPr>
        <w:t>Agenda Item 10</w:t>
      </w:r>
    </w:p>
    <w:p w14:paraId="03B18BF2" w14:textId="77777777" w:rsidR="00833D80" w:rsidRPr="00A86A87" w:rsidRDefault="00833D80" w:rsidP="00833D80">
      <w:pPr>
        <w:rPr>
          <w:sz w:val="22"/>
          <w:szCs w:val="22"/>
        </w:rPr>
      </w:pPr>
    </w:p>
    <w:p w14:paraId="4D527916" w14:textId="77777777" w:rsidR="00833D80" w:rsidRPr="00A86A87" w:rsidRDefault="00833D80" w:rsidP="00833D80">
      <w:pPr>
        <w:rPr>
          <w:i/>
          <w:iCs/>
          <w:sz w:val="22"/>
          <w:szCs w:val="22"/>
        </w:rPr>
      </w:pPr>
      <w:r w:rsidRPr="00A86A87">
        <w:rPr>
          <w:i/>
          <w:iCs/>
          <w:sz w:val="22"/>
          <w:szCs w:val="22"/>
        </w:rPr>
        <w:t xml:space="preserve">10 </w:t>
      </w:r>
      <w:r w:rsidRPr="00A86A87">
        <w:rPr>
          <w:i/>
          <w:iCs/>
          <w:sz w:val="22"/>
          <w:szCs w:val="22"/>
        </w:rPr>
        <w:tab/>
        <w:t>to recommend to the Council items for inclusion in the agenda for the next WRC, and items for the preliminary agenda of future conferences, in accordance with Article 7 of the Convention and Resolution 804 (Rev.WRC-19)</w:t>
      </w:r>
    </w:p>
    <w:p w14:paraId="6FFC2757" w14:textId="77777777" w:rsidR="00833D80" w:rsidRPr="00A86A87" w:rsidRDefault="00833D80" w:rsidP="00833D80">
      <w:pPr>
        <w:rPr>
          <w:i/>
          <w:iCs/>
          <w:sz w:val="22"/>
          <w:szCs w:val="22"/>
        </w:rPr>
      </w:pPr>
    </w:p>
    <w:p w14:paraId="377E3974" w14:textId="77777777" w:rsidR="00833D80" w:rsidRPr="00A86A87" w:rsidRDefault="00833D80" w:rsidP="00833D80">
      <w:pPr>
        <w:jc w:val="center"/>
        <w:rPr>
          <w:b/>
          <w:sz w:val="22"/>
          <w:szCs w:val="22"/>
          <w:lang w:val="en-GB"/>
        </w:rPr>
      </w:pPr>
      <w:r w:rsidRPr="00A86A87">
        <w:rPr>
          <w:b/>
          <w:sz w:val="22"/>
          <w:szCs w:val="22"/>
          <w:lang w:val="en-GB"/>
        </w:rPr>
        <w:t>Study of technical and operational issues and regulatory provisions for adding inter-satellite service allocation in the frequency bands</w:t>
      </w:r>
    </w:p>
    <w:p w14:paraId="006EF2EF" w14:textId="77777777" w:rsidR="00833D80" w:rsidRPr="00A86A87" w:rsidRDefault="00833D80" w:rsidP="00833D80">
      <w:pPr>
        <w:jc w:val="center"/>
        <w:rPr>
          <w:i/>
          <w:iCs/>
          <w:sz w:val="22"/>
          <w:szCs w:val="22"/>
        </w:rPr>
      </w:pPr>
      <w:r w:rsidRPr="00A86A87">
        <w:rPr>
          <w:b/>
          <w:sz w:val="22"/>
          <w:szCs w:val="22"/>
          <w:lang w:val="en-GB"/>
        </w:rPr>
        <w:t xml:space="preserve">3 700-4 200 MHz (space-to-Earth) and 5 925-6 425 MHz (Earth-to-space) for non-GSO user space stations operating at lower orbital altitudes, in communication with GSO satellites in the fixed-satellite </w:t>
      </w:r>
      <w:proofErr w:type="gramStart"/>
      <w:r w:rsidRPr="00A86A87">
        <w:rPr>
          <w:b/>
          <w:sz w:val="22"/>
          <w:szCs w:val="22"/>
          <w:lang w:val="en-GB"/>
        </w:rPr>
        <w:t>service</w:t>
      </w:r>
      <w:proofErr w:type="gramEnd"/>
    </w:p>
    <w:p w14:paraId="3B6A5B7E" w14:textId="77777777" w:rsidR="00833D80" w:rsidRPr="00A86A87" w:rsidRDefault="00833D80" w:rsidP="00833D80">
      <w:pPr>
        <w:widowControl w:val="0"/>
        <w:autoSpaceDE w:val="0"/>
        <w:autoSpaceDN w:val="0"/>
        <w:adjustRightInd w:val="0"/>
        <w:ind w:left="1000"/>
        <w:rPr>
          <w:b/>
          <w:bCs/>
          <w:sz w:val="22"/>
          <w:szCs w:val="22"/>
        </w:rPr>
      </w:pPr>
    </w:p>
    <w:p w14:paraId="7A44D21A" w14:textId="77777777" w:rsidR="00833D80" w:rsidRPr="00A86A87" w:rsidRDefault="00833D80" w:rsidP="00833D80">
      <w:pPr>
        <w:jc w:val="both"/>
        <w:textAlignment w:val="baseline"/>
        <w:rPr>
          <w:sz w:val="22"/>
          <w:szCs w:val="22"/>
          <w:lang w:val="en-GB" w:eastAsia="en-GB"/>
        </w:rPr>
      </w:pPr>
      <w:r w:rsidRPr="00A86A87">
        <w:rPr>
          <w:b/>
          <w:bCs/>
          <w:sz w:val="22"/>
          <w:szCs w:val="22"/>
          <w:lang w:eastAsia="en-GB"/>
        </w:rPr>
        <w:t>Background</w:t>
      </w:r>
    </w:p>
    <w:p w14:paraId="3D3D393D" w14:textId="77777777" w:rsidR="00833D80" w:rsidRPr="00A86A87" w:rsidRDefault="00833D80" w:rsidP="00865FE5">
      <w:pPr>
        <w:spacing w:before="120" w:after="120"/>
        <w:jc w:val="both"/>
        <w:rPr>
          <w:sz w:val="22"/>
          <w:szCs w:val="22"/>
          <w:lang w:eastAsia="en-GB"/>
        </w:rPr>
      </w:pPr>
      <w:r w:rsidRPr="00A86A87">
        <w:rPr>
          <w:sz w:val="22"/>
          <w:szCs w:val="22"/>
          <w:lang w:eastAsia="en-GB"/>
        </w:rPr>
        <w:t xml:space="preserve">The development of satellite data relay applications using the satellite services has shown tremendous progress in the last 4 years, and initial market analysis shows no indication of slowing down </w:t>
      </w:r>
      <w:proofErr w:type="gramStart"/>
      <w:r w:rsidRPr="00A86A87">
        <w:rPr>
          <w:sz w:val="22"/>
          <w:szCs w:val="22"/>
          <w:lang w:eastAsia="en-GB"/>
        </w:rPr>
        <w:t>in the near future</w:t>
      </w:r>
      <w:proofErr w:type="gramEnd"/>
      <w:r w:rsidRPr="00A86A87">
        <w:rPr>
          <w:sz w:val="22"/>
          <w:szCs w:val="22"/>
          <w:lang w:eastAsia="en-GB"/>
        </w:rPr>
        <w:t xml:space="preserve">.  Commercial satellite operators are underway with designing and testing these data relay systems which will be beneficial to many end users, who operate low earth orbiting (LEO) satellites with limitations on the capability of getting the data to </w:t>
      </w:r>
      <w:proofErr w:type="gramStart"/>
      <w:r w:rsidRPr="00A86A87">
        <w:rPr>
          <w:sz w:val="22"/>
          <w:szCs w:val="22"/>
          <w:lang w:eastAsia="en-GB"/>
        </w:rPr>
        <w:t>a</w:t>
      </w:r>
      <w:proofErr w:type="gramEnd"/>
      <w:r w:rsidRPr="00A86A87">
        <w:rPr>
          <w:sz w:val="22"/>
          <w:szCs w:val="22"/>
          <w:lang w:eastAsia="en-GB"/>
        </w:rPr>
        <w:t xml:space="preserve"> earth station in a timely manner, to ensure that the data remains valuable.  As a part of the satellite data relay landscape, C-band offers unique opportunity in contact time and coverage with the LEO user space station.  One application is for urgent/real-time tasking of data relay services to the end user.</w:t>
      </w:r>
    </w:p>
    <w:p w14:paraId="70C9B47F" w14:textId="77777777" w:rsidR="00833D80" w:rsidRPr="00A86A87" w:rsidRDefault="00833D80" w:rsidP="00865FE5">
      <w:pPr>
        <w:spacing w:before="120" w:after="120"/>
        <w:jc w:val="both"/>
        <w:rPr>
          <w:sz w:val="22"/>
          <w:szCs w:val="22"/>
          <w:lang w:eastAsia="en-GB"/>
        </w:rPr>
      </w:pPr>
      <w:r w:rsidRPr="00A86A87">
        <w:rPr>
          <w:sz w:val="22"/>
          <w:szCs w:val="22"/>
          <w:lang w:eastAsia="en-GB"/>
        </w:rPr>
        <w:t>This proposal seeks to study the sharing and compatibility of adding inter-satellite service allocation in the frequency bands 3 700-4 200 MHz (space-to-Earth) and 5 925-6 425 MHz (Earth-to-space) for non-GSO user space stations operating at lower orbital altitudes, in communication with GSO satellites in the fixed-satellite service.</w:t>
      </w:r>
    </w:p>
    <w:p w14:paraId="051E5617" w14:textId="77777777" w:rsidR="00833D80" w:rsidRPr="00A86A87" w:rsidRDefault="00833D80" w:rsidP="00833D80">
      <w:pPr>
        <w:spacing w:before="120" w:after="120"/>
        <w:rPr>
          <w:sz w:val="22"/>
          <w:szCs w:val="22"/>
          <w:lang w:eastAsia="en-GB"/>
        </w:rPr>
      </w:pPr>
    </w:p>
    <w:p w14:paraId="77D95DD5" w14:textId="77777777" w:rsidR="00833D80" w:rsidRPr="00A86A87" w:rsidRDefault="00833D80" w:rsidP="00833D80">
      <w:pPr>
        <w:spacing w:before="120" w:after="120"/>
        <w:rPr>
          <w:b/>
          <w:bCs/>
          <w:sz w:val="22"/>
          <w:szCs w:val="22"/>
          <w:lang w:eastAsia="en-GB"/>
        </w:rPr>
      </w:pPr>
      <w:r w:rsidRPr="00A86A87">
        <w:rPr>
          <w:b/>
          <w:bCs/>
          <w:sz w:val="22"/>
          <w:szCs w:val="22"/>
          <w:lang w:eastAsia="en-GB"/>
        </w:rPr>
        <w:t>Proposal:</w:t>
      </w:r>
    </w:p>
    <w:p w14:paraId="68F1BE65" w14:textId="77777777" w:rsidR="00833D80" w:rsidRPr="00A86A87" w:rsidRDefault="00833D80" w:rsidP="00833D80">
      <w:pPr>
        <w:spacing w:before="120" w:after="120"/>
        <w:rPr>
          <w:sz w:val="22"/>
          <w:szCs w:val="22"/>
          <w:lang w:eastAsia="en-GB"/>
        </w:rPr>
      </w:pPr>
    </w:p>
    <w:p w14:paraId="1D221903" w14:textId="77777777" w:rsidR="00833D80" w:rsidRPr="00A86A87" w:rsidRDefault="00833D80" w:rsidP="00833D80">
      <w:pPr>
        <w:pStyle w:val="Proposal"/>
        <w:rPr>
          <w:rFonts w:hAnsi="Times New Roman"/>
          <w:sz w:val="22"/>
          <w:szCs w:val="22"/>
        </w:rPr>
      </w:pPr>
      <w:r w:rsidRPr="00A86A87">
        <w:rPr>
          <w:rFonts w:hAnsi="Times New Roman"/>
          <w:sz w:val="22"/>
          <w:szCs w:val="22"/>
        </w:rPr>
        <w:t>SUP</w:t>
      </w:r>
      <w:r w:rsidRPr="00A86A87">
        <w:rPr>
          <w:rFonts w:hAnsi="Times New Roman"/>
          <w:sz w:val="22"/>
          <w:szCs w:val="22"/>
        </w:rPr>
        <w:tab/>
        <w:t>USA/10 (CBAND_ISS))/1</w:t>
      </w:r>
    </w:p>
    <w:p w14:paraId="40264648" w14:textId="77777777" w:rsidR="00833D80" w:rsidRPr="00A86A87" w:rsidRDefault="00833D80" w:rsidP="00833D80">
      <w:pPr>
        <w:pStyle w:val="ResNo"/>
        <w:rPr>
          <w:sz w:val="22"/>
          <w:szCs w:val="22"/>
        </w:rPr>
      </w:pPr>
      <w:bookmarkStart w:id="0" w:name="_Toc39649639"/>
      <w:r w:rsidRPr="00A86A87">
        <w:rPr>
          <w:sz w:val="22"/>
          <w:szCs w:val="22"/>
        </w:rPr>
        <w:t xml:space="preserve">RESOLUTION </w:t>
      </w:r>
      <w:r w:rsidRPr="00A86A87">
        <w:rPr>
          <w:rStyle w:val="href"/>
          <w:sz w:val="22"/>
          <w:szCs w:val="22"/>
        </w:rPr>
        <w:t>812</w:t>
      </w:r>
      <w:r w:rsidRPr="00A86A87">
        <w:rPr>
          <w:sz w:val="22"/>
          <w:szCs w:val="22"/>
        </w:rPr>
        <w:t xml:space="preserve"> (WRC-19)</w:t>
      </w:r>
      <w:bookmarkEnd w:id="0"/>
    </w:p>
    <w:p w14:paraId="176308DB" w14:textId="77777777" w:rsidR="00833D80" w:rsidRPr="00A86A87" w:rsidRDefault="00833D80" w:rsidP="00833D80">
      <w:pPr>
        <w:pStyle w:val="Restitle"/>
        <w:rPr>
          <w:rFonts w:ascii="Times New Roman" w:hAnsi="Times New Roman"/>
          <w:sz w:val="22"/>
          <w:szCs w:val="22"/>
        </w:rPr>
      </w:pPr>
      <w:bookmarkStart w:id="1" w:name="_Toc35789443"/>
      <w:bookmarkStart w:id="2" w:name="_Toc35857140"/>
      <w:bookmarkStart w:id="3" w:name="_Toc35877775"/>
      <w:bookmarkStart w:id="4" w:name="_Toc35963719"/>
      <w:bookmarkStart w:id="5" w:name="_Toc39649640"/>
      <w:r w:rsidRPr="00A86A87">
        <w:rPr>
          <w:rFonts w:ascii="Times New Roman" w:hAnsi="Times New Roman"/>
          <w:sz w:val="22"/>
          <w:szCs w:val="22"/>
        </w:rPr>
        <w:t>Preliminary agenda for the 2027 World Radiocommunication Conference</w:t>
      </w:r>
      <w:bookmarkEnd w:id="1"/>
      <w:bookmarkEnd w:id="2"/>
      <w:bookmarkEnd w:id="3"/>
      <w:bookmarkEnd w:id="4"/>
      <w:bookmarkEnd w:id="5"/>
    </w:p>
    <w:p w14:paraId="4D578516" w14:textId="77777777" w:rsidR="00833D80" w:rsidRPr="00A86A87" w:rsidRDefault="00833D80" w:rsidP="00833D80">
      <w:pPr>
        <w:pStyle w:val="Normalaftertitle"/>
        <w:rPr>
          <w:sz w:val="22"/>
          <w:szCs w:val="22"/>
        </w:rPr>
      </w:pPr>
    </w:p>
    <w:p w14:paraId="31997A6E" w14:textId="77777777" w:rsidR="00833D80" w:rsidRPr="00A86A87" w:rsidRDefault="00833D80" w:rsidP="00833D80">
      <w:pPr>
        <w:pStyle w:val="Reasons"/>
        <w:rPr>
          <w:sz w:val="22"/>
          <w:szCs w:val="22"/>
        </w:rPr>
      </w:pPr>
      <w:r w:rsidRPr="00A86A87">
        <w:rPr>
          <w:b/>
          <w:sz w:val="22"/>
          <w:szCs w:val="22"/>
        </w:rPr>
        <w:t>Reasons:</w:t>
      </w:r>
      <w:r w:rsidRPr="00A86A87">
        <w:rPr>
          <w:sz w:val="22"/>
          <w:szCs w:val="22"/>
        </w:rPr>
        <w:tab/>
        <w:t>This Resolution must be suppressed, as WRC-23 will create a new Resolution that will include the agenda for WRC-27.</w:t>
      </w:r>
    </w:p>
    <w:p w14:paraId="67FA94D7" w14:textId="77777777" w:rsidR="00833D80" w:rsidRPr="00A86A87" w:rsidRDefault="00833D80" w:rsidP="00833D80">
      <w:pPr>
        <w:pStyle w:val="Reasons"/>
        <w:rPr>
          <w:sz w:val="22"/>
          <w:szCs w:val="22"/>
        </w:rPr>
      </w:pPr>
    </w:p>
    <w:p w14:paraId="132CF5DE" w14:textId="77777777" w:rsidR="00833D80" w:rsidRPr="00A86A87" w:rsidRDefault="00833D80" w:rsidP="00833D80">
      <w:pPr>
        <w:pStyle w:val="Proposal"/>
        <w:rPr>
          <w:rFonts w:hAnsi="Times New Roman"/>
          <w:sz w:val="22"/>
          <w:szCs w:val="22"/>
        </w:rPr>
      </w:pPr>
      <w:r w:rsidRPr="00A86A87">
        <w:rPr>
          <w:rFonts w:hAnsi="Times New Roman"/>
          <w:sz w:val="22"/>
          <w:szCs w:val="22"/>
        </w:rPr>
        <w:t>ADD</w:t>
      </w:r>
      <w:proofErr w:type="gramStart"/>
      <w:r w:rsidRPr="00A86A87">
        <w:rPr>
          <w:rFonts w:hAnsi="Times New Roman"/>
          <w:sz w:val="22"/>
          <w:szCs w:val="22"/>
        </w:rPr>
        <w:tab/>
        <w:t xml:space="preserve">  USA</w:t>
      </w:r>
      <w:proofErr w:type="gramEnd"/>
      <w:r w:rsidRPr="00A86A87">
        <w:rPr>
          <w:rFonts w:hAnsi="Times New Roman"/>
          <w:sz w:val="22"/>
          <w:szCs w:val="22"/>
        </w:rPr>
        <w:t>/10 (CBAND_ISS)/2</w:t>
      </w:r>
    </w:p>
    <w:p w14:paraId="3EE0FF7E" w14:textId="77777777" w:rsidR="00833D80" w:rsidRPr="00A86A87" w:rsidRDefault="00833D80" w:rsidP="00833D80">
      <w:pPr>
        <w:rPr>
          <w:sz w:val="22"/>
          <w:szCs w:val="22"/>
          <w:lang w:val="en-GB"/>
        </w:rPr>
      </w:pPr>
    </w:p>
    <w:p w14:paraId="58B6674E" w14:textId="77777777" w:rsidR="00833D80" w:rsidRPr="00A86A87" w:rsidRDefault="00833D80" w:rsidP="00833D80">
      <w:pPr>
        <w:pStyle w:val="ResNo"/>
        <w:rPr>
          <w:sz w:val="22"/>
          <w:szCs w:val="22"/>
        </w:rPr>
      </w:pPr>
      <w:r w:rsidRPr="00A86A87">
        <w:rPr>
          <w:sz w:val="22"/>
          <w:szCs w:val="22"/>
        </w:rPr>
        <w:lastRenderedPageBreak/>
        <w:t>DRAFT NEW RESOLUTION [AI 10] (WRC</w:t>
      </w:r>
      <w:r w:rsidRPr="00A86A87">
        <w:rPr>
          <w:sz w:val="22"/>
          <w:szCs w:val="22"/>
        </w:rPr>
        <w:noBreakHyphen/>
        <w:t>23)</w:t>
      </w:r>
    </w:p>
    <w:p w14:paraId="68A5EFB4" w14:textId="77777777" w:rsidR="00833D80" w:rsidRPr="00A86A87" w:rsidRDefault="00833D80" w:rsidP="00833D80">
      <w:pPr>
        <w:pStyle w:val="Restitle"/>
        <w:rPr>
          <w:rFonts w:ascii="Times New Roman" w:hAnsi="Times New Roman"/>
          <w:sz w:val="22"/>
          <w:szCs w:val="22"/>
        </w:rPr>
      </w:pPr>
      <w:bookmarkStart w:id="6" w:name="_Toc39649638"/>
      <w:bookmarkStart w:id="7" w:name="_Toc35963717"/>
      <w:bookmarkStart w:id="8" w:name="_Toc35877773"/>
      <w:bookmarkStart w:id="9" w:name="_Toc35857138"/>
      <w:bookmarkStart w:id="10" w:name="_Toc35789441"/>
      <w:r w:rsidRPr="00A86A87">
        <w:rPr>
          <w:rFonts w:ascii="Times New Roman" w:hAnsi="Times New Roman"/>
          <w:sz w:val="22"/>
          <w:szCs w:val="22"/>
        </w:rPr>
        <w:t>Agenda for the 2027 world radiocommunication conference</w:t>
      </w:r>
      <w:bookmarkEnd w:id="6"/>
      <w:bookmarkEnd w:id="7"/>
      <w:bookmarkEnd w:id="8"/>
      <w:bookmarkEnd w:id="9"/>
      <w:bookmarkEnd w:id="10"/>
    </w:p>
    <w:p w14:paraId="40E9BA76" w14:textId="77777777" w:rsidR="00833D80" w:rsidRPr="00A86A87" w:rsidRDefault="00833D80" w:rsidP="00833D80">
      <w:pPr>
        <w:pStyle w:val="Normalaftertitle"/>
        <w:rPr>
          <w:sz w:val="22"/>
          <w:szCs w:val="22"/>
        </w:rPr>
      </w:pPr>
      <w:r w:rsidRPr="00A86A87">
        <w:rPr>
          <w:sz w:val="22"/>
          <w:szCs w:val="22"/>
        </w:rPr>
        <w:t>The World Radiocommunication Conference (Dubai, 2023),</w:t>
      </w:r>
    </w:p>
    <w:p w14:paraId="61A31430" w14:textId="77777777" w:rsidR="00833D80" w:rsidRPr="00A86A87" w:rsidRDefault="00833D80" w:rsidP="00833D80">
      <w:pPr>
        <w:pStyle w:val="Call"/>
        <w:rPr>
          <w:sz w:val="22"/>
          <w:szCs w:val="22"/>
        </w:rPr>
      </w:pPr>
      <w:r w:rsidRPr="00A86A87">
        <w:rPr>
          <w:sz w:val="22"/>
          <w:szCs w:val="22"/>
        </w:rPr>
        <w:t>considering</w:t>
      </w:r>
    </w:p>
    <w:p w14:paraId="484A4EAD" w14:textId="77777777" w:rsidR="00833D80" w:rsidRPr="00A86A87" w:rsidRDefault="00833D80" w:rsidP="00865FE5">
      <w:pPr>
        <w:jc w:val="both"/>
        <w:rPr>
          <w:sz w:val="22"/>
          <w:szCs w:val="22"/>
        </w:rPr>
      </w:pPr>
      <w:r w:rsidRPr="00A86A87">
        <w:rPr>
          <w:i/>
          <w:iCs/>
          <w:sz w:val="22"/>
          <w:szCs w:val="22"/>
        </w:rPr>
        <w:t>a)</w:t>
      </w:r>
      <w:r w:rsidRPr="00A86A87">
        <w:rPr>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A86A87">
        <w:rPr>
          <w:sz w:val="22"/>
          <w:szCs w:val="22"/>
        </w:rPr>
        <w:t>conference;</w:t>
      </w:r>
      <w:proofErr w:type="gramEnd"/>
    </w:p>
    <w:p w14:paraId="65B9297F" w14:textId="77777777" w:rsidR="00833D80" w:rsidRPr="00A86A87" w:rsidRDefault="00833D80" w:rsidP="00865FE5">
      <w:pPr>
        <w:jc w:val="both"/>
        <w:rPr>
          <w:sz w:val="22"/>
          <w:szCs w:val="22"/>
        </w:rPr>
      </w:pPr>
      <w:r w:rsidRPr="00A86A87">
        <w:rPr>
          <w:i/>
          <w:iCs/>
          <w:sz w:val="22"/>
          <w:szCs w:val="22"/>
        </w:rPr>
        <w:t>b)</w:t>
      </w:r>
      <w:r w:rsidRPr="00A86A87">
        <w:rPr>
          <w:sz w:val="22"/>
          <w:szCs w:val="22"/>
        </w:rPr>
        <w:tab/>
        <w:t xml:space="preserve">Article 13 of the ITU Constitution relating to the competence and scheduling of WRCs and Article 7 of the Convention relating to their </w:t>
      </w:r>
      <w:proofErr w:type="gramStart"/>
      <w:r w:rsidRPr="00A86A87">
        <w:rPr>
          <w:sz w:val="22"/>
          <w:szCs w:val="22"/>
        </w:rPr>
        <w:t>agendas;</w:t>
      </w:r>
      <w:proofErr w:type="gramEnd"/>
    </w:p>
    <w:p w14:paraId="0B79E780" w14:textId="77777777" w:rsidR="00833D80" w:rsidRPr="00A86A87" w:rsidRDefault="00833D80" w:rsidP="00865FE5">
      <w:pPr>
        <w:jc w:val="both"/>
        <w:rPr>
          <w:sz w:val="22"/>
          <w:szCs w:val="22"/>
        </w:rPr>
      </w:pPr>
      <w:r w:rsidRPr="00A86A87">
        <w:rPr>
          <w:i/>
          <w:iCs/>
          <w:sz w:val="22"/>
          <w:szCs w:val="22"/>
        </w:rPr>
        <w:t>c)</w:t>
      </w:r>
      <w:r w:rsidRPr="00A86A87">
        <w:rPr>
          <w:sz w:val="22"/>
          <w:szCs w:val="22"/>
        </w:rPr>
        <w:tab/>
        <w:t>the relevant resolutions and recommendations of previous world administrative radio conferences (WARCs) and WRCs,</w:t>
      </w:r>
    </w:p>
    <w:p w14:paraId="5EB2BE5D" w14:textId="77777777" w:rsidR="00833D80" w:rsidRPr="00A86A87" w:rsidRDefault="00833D80" w:rsidP="00833D80">
      <w:pPr>
        <w:pStyle w:val="Call"/>
        <w:rPr>
          <w:sz w:val="22"/>
          <w:szCs w:val="22"/>
        </w:rPr>
      </w:pPr>
      <w:r w:rsidRPr="00A86A87">
        <w:rPr>
          <w:sz w:val="22"/>
          <w:szCs w:val="22"/>
        </w:rPr>
        <w:t>recognizing</w:t>
      </w:r>
    </w:p>
    <w:p w14:paraId="0A3DDDB7" w14:textId="77777777" w:rsidR="00833D80" w:rsidRPr="00A86A87" w:rsidRDefault="00833D80" w:rsidP="00865FE5">
      <w:pPr>
        <w:jc w:val="both"/>
        <w:rPr>
          <w:sz w:val="22"/>
          <w:szCs w:val="22"/>
        </w:rPr>
      </w:pPr>
      <w:r w:rsidRPr="00A86A87">
        <w:rPr>
          <w:i/>
          <w:iCs/>
          <w:sz w:val="22"/>
          <w:szCs w:val="22"/>
        </w:rPr>
        <w:t>a)</w:t>
      </w:r>
      <w:r w:rsidRPr="00A86A87">
        <w:rPr>
          <w:sz w:val="22"/>
          <w:szCs w:val="22"/>
        </w:rPr>
        <w:tab/>
        <w:t>that this conference has identified a number of urgent issues requiring further examination by WRC</w:t>
      </w:r>
      <w:r w:rsidRPr="00A86A87">
        <w:rPr>
          <w:sz w:val="22"/>
          <w:szCs w:val="22"/>
        </w:rPr>
        <w:noBreakHyphen/>
      </w:r>
      <w:proofErr w:type="gramStart"/>
      <w:r w:rsidRPr="00A86A87">
        <w:rPr>
          <w:sz w:val="22"/>
          <w:szCs w:val="22"/>
        </w:rPr>
        <w:t>27;</w:t>
      </w:r>
      <w:proofErr w:type="gramEnd"/>
    </w:p>
    <w:p w14:paraId="026F667D" w14:textId="77777777" w:rsidR="00833D80" w:rsidRPr="00A86A87" w:rsidRDefault="00833D80" w:rsidP="00865FE5">
      <w:pPr>
        <w:jc w:val="both"/>
        <w:rPr>
          <w:sz w:val="22"/>
          <w:szCs w:val="22"/>
        </w:rPr>
      </w:pPr>
      <w:r w:rsidRPr="00A86A87">
        <w:rPr>
          <w:i/>
          <w:iCs/>
          <w:sz w:val="22"/>
          <w:szCs w:val="22"/>
        </w:rPr>
        <w:t>b)</w:t>
      </w:r>
      <w:r w:rsidRPr="00A86A87">
        <w:rPr>
          <w:sz w:val="22"/>
          <w:szCs w:val="22"/>
        </w:rPr>
        <w:tab/>
        <w:t>that, in preparing this agenda, some items proposed by administrations could not be included and have had to be deferred to future conference agendas,</w:t>
      </w:r>
    </w:p>
    <w:p w14:paraId="06BB74F3" w14:textId="77777777" w:rsidR="00833D80" w:rsidRPr="00A86A87" w:rsidRDefault="00833D80" w:rsidP="00865FE5">
      <w:pPr>
        <w:pStyle w:val="Call"/>
        <w:jc w:val="both"/>
        <w:rPr>
          <w:sz w:val="22"/>
          <w:szCs w:val="22"/>
        </w:rPr>
      </w:pPr>
      <w:r w:rsidRPr="00A86A87">
        <w:rPr>
          <w:sz w:val="22"/>
          <w:szCs w:val="22"/>
        </w:rPr>
        <w:t>resolves</w:t>
      </w:r>
    </w:p>
    <w:p w14:paraId="60822FD9" w14:textId="77777777" w:rsidR="00833D80" w:rsidRPr="00A86A87" w:rsidRDefault="00833D80" w:rsidP="00865FE5">
      <w:pPr>
        <w:jc w:val="both"/>
        <w:rPr>
          <w:sz w:val="22"/>
          <w:szCs w:val="22"/>
        </w:rPr>
      </w:pPr>
      <w:r w:rsidRPr="00A86A87">
        <w:rPr>
          <w:sz w:val="22"/>
          <w:szCs w:val="22"/>
        </w:rPr>
        <w:t>to recommend to the Council that a WRC be held in 2027 for a maximum period of four weeks, with the following agenda:</w:t>
      </w:r>
    </w:p>
    <w:p w14:paraId="7D7270AF" w14:textId="77777777" w:rsidR="00833D80" w:rsidRPr="00A86A87" w:rsidRDefault="00833D80" w:rsidP="00865FE5">
      <w:pPr>
        <w:jc w:val="both"/>
        <w:rPr>
          <w:sz w:val="22"/>
          <w:szCs w:val="22"/>
        </w:rPr>
      </w:pPr>
      <w:r w:rsidRPr="00A86A87">
        <w:rPr>
          <w:sz w:val="22"/>
          <w:szCs w:val="22"/>
        </w:rPr>
        <w:t>1</w:t>
      </w:r>
      <w:r w:rsidRPr="00A86A87">
        <w:rPr>
          <w:sz w:val="22"/>
          <w:szCs w:val="22"/>
        </w:rPr>
        <w:tab/>
      </w:r>
      <w:proofErr w:type="gramStart"/>
      <w:r w:rsidRPr="00A86A87">
        <w:rPr>
          <w:sz w:val="22"/>
          <w:szCs w:val="22"/>
        </w:rPr>
        <w:t>on the basis of</w:t>
      </w:r>
      <w:proofErr w:type="gramEnd"/>
      <w:r w:rsidRPr="00A86A87">
        <w:rPr>
          <w:sz w:val="22"/>
          <w:szCs w:val="22"/>
        </w:rPr>
        <w:t xml:space="preserve"> proposals from administrations, taking account of the results of WRC</w:t>
      </w:r>
      <w:r w:rsidRPr="00A86A87">
        <w:rPr>
          <w:sz w:val="22"/>
          <w:szCs w:val="22"/>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2A59EAD4"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1.x</w:t>
      </w:r>
      <w:r w:rsidRPr="00A86A87">
        <w:rPr>
          <w:rFonts w:eastAsiaTheme="minorHAnsi"/>
          <w:sz w:val="22"/>
          <w:szCs w:val="22"/>
        </w:rPr>
        <w:tab/>
        <w:t xml:space="preserve">to consider, based on the results of ITU-R studies, possible measures to address, adding </w:t>
      </w:r>
      <w:bookmarkStart w:id="11" w:name="_Hlk130198923"/>
      <w:r w:rsidRPr="00A86A87">
        <w:rPr>
          <w:rFonts w:eastAsiaTheme="minorHAnsi"/>
          <w:sz w:val="22"/>
          <w:szCs w:val="22"/>
        </w:rPr>
        <w:t xml:space="preserve">an inter-satellite service allocation in the frequency bands 3 700 - 4 200 MHz </w:t>
      </w:r>
      <w:r w:rsidRPr="00A86A87">
        <w:rPr>
          <w:rFonts w:eastAsiaTheme="minorHAnsi"/>
          <w:sz w:val="22"/>
          <w:szCs w:val="22"/>
        </w:rPr>
        <w:br/>
        <w:t xml:space="preserve">(space-to-Earth) and 5 925-6 425 MHz (Earth-to-space) for non-GSO space stations operating at lower orbital altitudes, in communication with GSO satellites in the fixed-satellite service </w:t>
      </w:r>
      <w:bookmarkEnd w:id="11"/>
      <w:r w:rsidRPr="00A86A87">
        <w:rPr>
          <w:sz w:val="22"/>
          <w:szCs w:val="22"/>
        </w:rPr>
        <w:t xml:space="preserve">Resolution </w:t>
      </w:r>
      <w:r w:rsidRPr="00A86A87">
        <w:rPr>
          <w:b/>
          <w:bCs/>
          <w:sz w:val="22"/>
          <w:szCs w:val="22"/>
        </w:rPr>
        <w:t>[CBAND_ISS]</w:t>
      </w:r>
      <w:r w:rsidRPr="00A86A87">
        <w:rPr>
          <w:rFonts w:eastAsiaTheme="minorHAnsi"/>
          <w:b/>
          <w:bCs/>
          <w:sz w:val="22"/>
          <w:szCs w:val="22"/>
        </w:rPr>
        <w:t xml:space="preserve"> (Rev.WRC-23</w:t>
      </w:r>
      <w:proofErr w:type="gramStart"/>
      <w:r w:rsidRPr="00A86A87">
        <w:rPr>
          <w:rFonts w:eastAsiaTheme="minorHAnsi"/>
          <w:b/>
          <w:bCs/>
          <w:sz w:val="22"/>
          <w:szCs w:val="22"/>
        </w:rPr>
        <w:t>)</w:t>
      </w:r>
      <w:r w:rsidRPr="00A86A87">
        <w:rPr>
          <w:rFonts w:eastAsiaTheme="minorHAnsi"/>
          <w:sz w:val="22"/>
          <w:szCs w:val="22"/>
        </w:rPr>
        <w:t>;</w:t>
      </w:r>
      <w:proofErr w:type="gramEnd"/>
    </w:p>
    <w:p w14:paraId="5692873A" w14:textId="77777777" w:rsidR="00833D80" w:rsidRPr="00A86A87" w:rsidRDefault="00833D80" w:rsidP="00833D80">
      <w:pPr>
        <w:keepNext/>
        <w:keepLines/>
        <w:tabs>
          <w:tab w:val="left" w:pos="1134"/>
          <w:tab w:val="left" w:pos="1871"/>
          <w:tab w:val="left" w:pos="2268"/>
        </w:tabs>
        <w:overflowPunct w:val="0"/>
        <w:autoSpaceDE w:val="0"/>
        <w:autoSpaceDN w:val="0"/>
        <w:adjustRightInd w:val="0"/>
        <w:spacing w:before="160"/>
        <w:textAlignment w:val="baseline"/>
        <w:rPr>
          <w:i/>
          <w:sz w:val="22"/>
          <w:szCs w:val="22"/>
          <w:lang w:val="en-GB"/>
        </w:rPr>
      </w:pPr>
      <w:r w:rsidRPr="00A86A87">
        <w:rPr>
          <w:i/>
          <w:sz w:val="22"/>
          <w:szCs w:val="22"/>
          <w:lang w:val="en-GB"/>
        </w:rPr>
        <w:tab/>
        <w:t xml:space="preserve">resolves </w:t>
      </w:r>
      <w:proofErr w:type="gramStart"/>
      <w:r w:rsidRPr="00A86A87">
        <w:rPr>
          <w:i/>
          <w:sz w:val="22"/>
          <w:szCs w:val="22"/>
          <w:lang w:val="en-GB"/>
        </w:rPr>
        <w:t>further</w:t>
      </w:r>
      <w:proofErr w:type="gramEnd"/>
    </w:p>
    <w:p w14:paraId="4E5AAF76" w14:textId="77777777" w:rsidR="00833D80" w:rsidRPr="00A86A87" w:rsidRDefault="00833D80" w:rsidP="00833D80">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A86A87">
        <w:rPr>
          <w:sz w:val="22"/>
          <w:szCs w:val="22"/>
          <w:lang w:val="en-GB"/>
        </w:rPr>
        <w:t>to activate the Conference Preparatory Meeting,</w:t>
      </w:r>
    </w:p>
    <w:p w14:paraId="080A1138" w14:textId="77777777" w:rsidR="00833D80" w:rsidRPr="00A86A87" w:rsidRDefault="00833D80" w:rsidP="00833D80">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A86A87">
        <w:rPr>
          <w:i/>
          <w:sz w:val="22"/>
          <w:szCs w:val="22"/>
          <w:lang w:val="en-GB"/>
        </w:rPr>
        <w:t>invites the ITU Council</w:t>
      </w:r>
    </w:p>
    <w:p w14:paraId="05435289" w14:textId="77777777" w:rsidR="00833D80" w:rsidRPr="00A86A87" w:rsidRDefault="00833D80" w:rsidP="00865FE5">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A86A87">
        <w:rPr>
          <w:sz w:val="22"/>
          <w:szCs w:val="22"/>
          <w:lang w:val="en-GB"/>
        </w:rPr>
        <w:t>to finalize the agenda and arrange for the convening of WRC</w:t>
      </w:r>
      <w:r w:rsidRPr="00A86A87">
        <w:rPr>
          <w:sz w:val="22"/>
          <w:szCs w:val="22"/>
          <w:lang w:val="en-GB"/>
        </w:rPr>
        <w:noBreakHyphen/>
        <w:t>27, and to initiate as soon as possible the necessary consultations with Member States,</w:t>
      </w:r>
    </w:p>
    <w:p w14:paraId="02C2064C" w14:textId="77777777" w:rsidR="00833D80" w:rsidRPr="00A86A87" w:rsidRDefault="00833D80" w:rsidP="00865FE5">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A86A87">
        <w:rPr>
          <w:i/>
          <w:sz w:val="22"/>
          <w:szCs w:val="22"/>
          <w:lang w:val="en-GB"/>
        </w:rPr>
        <w:t>instructs the Director of the Radiocommunication Bureau</w:t>
      </w:r>
    </w:p>
    <w:p w14:paraId="687851BF" w14:textId="77777777" w:rsidR="00833D80" w:rsidRPr="00A86A87" w:rsidRDefault="00833D80" w:rsidP="00865FE5">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A86A87">
        <w:rPr>
          <w:sz w:val="22"/>
          <w:szCs w:val="22"/>
          <w:lang w:val="en-GB"/>
        </w:rPr>
        <w:t>to make the necessary arrangements to convene meetings of the Conference Preparatory Meeting and to prepare a report to WRC</w:t>
      </w:r>
      <w:r w:rsidRPr="00A86A87">
        <w:rPr>
          <w:sz w:val="22"/>
          <w:szCs w:val="22"/>
          <w:lang w:val="en-GB"/>
        </w:rPr>
        <w:noBreakHyphen/>
        <w:t>27,</w:t>
      </w:r>
    </w:p>
    <w:p w14:paraId="6AE4F8CF" w14:textId="77777777" w:rsidR="00833D80" w:rsidRPr="00A86A87" w:rsidRDefault="00833D80" w:rsidP="00833D80">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A86A87">
        <w:rPr>
          <w:i/>
          <w:sz w:val="22"/>
          <w:szCs w:val="22"/>
          <w:lang w:val="en-GB"/>
        </w:rPr>
        <w:t xml:space="preserve">instructs the </w:t>
      </w:r>
      <w:proofErr w:type="gramStart"/>
      <w:r w:rsidRPr="00A86A87">
        <w:rPr>
          <w:i/>
          <w:sz w:val="22"/>
          <w:szCs w:val="22"/>
          <w:lang w:val="en-GB"/>
        </w:rPr>
        <w:t>Secretary-General</w:t>
      </w:r>
      <w:proofErr w:type="gramEnd"/>
    </w:p>
    <w:p w14:paraId="6D2A07AB" w14:textId="77777777" w:rsidR="00833D80" w:rsidRPr="00A86A87" w:rsidRDefault="00833D80" w:rsidP="00865FE5">
      <w:pPr>
        <w:tabs>
          <w:tab w:val="left" w:pos="1134"/>
          <w:tab w:val="left" w:pos="1871"/>
          <w:tab w:val="left" w:pos="2268"/>
        </w:tabs>
        <w:overflowPunct w:val="0"/>
        <w:autoSpaceDE w:val="0"/>
        <w:autoSpaceDN w:val="0"/>
        <w:adjustRightInd w:val="0"/>
        <w:spacing w:before="120" w:after="240"/>
        <w:jc w:val="both"/>
        <w:textAlignment w:val="baseline"/>
        <w:rPr>
          <w:sz w:val="22"/>
          <w:szCs w:val="22"/>
          <w:lang w:val="en-GB"/>
        </w:rPr>
      </w:pPr>
      <w:r w:rsidRPr="00A86A87">
        <w:rPr>
          <w:sz w:val="22"/>
          <w:szCs w:val="22"/>
          <w:lang w:val="en-GB"/>
        </w:rPr>
        <w:t>to communicate this Resolution to international and regional organizations concerned.</w:t>
      </w:r>
    </w:p>
    <w:p w14:paraId="00752FAC" w14:textId="77777777" w:rsidR="00833D80" w:rsidRPr="00A86A87" w:rsidRDefault="00833D80" w:rsidP="00865FE5">
      <w:pPr>
        <w:jc w:val="both"/>
        <w:rPr>
          <w:sz w:val="22"/>
          <w:szCs w:val="22"/>
        </w:rPr>
      </w:pPr>
      <w:r w:rsidRPr="00A86A87">
        <w:rPr>
          <w:b/>
          <w:sz w:val="22"/>
          <w:szCs w:val="22"/>
          <w:lang w:val="en-GB"/>
        </w:rPr>
        <w:t>Reasons</w:t>
      </w:r>
      <w:r w:rsidRPr="00A86A87">
        <w:rPr>
          <w:bCs/>
          <w:sz w:val="22"/>
          <w:szCs w:val="22"/>
          <w:lang w:val="en-GB"/>
        </w:rPr>
        <w:t>:</w:t>
      </w:r>
      <w:r w:rsidRPr="00A86A87">
        <w:rPr>
          <w:b/>
          <w:sz w:val="22"/>
          <w:szCs w:val="22"/>
          <w:lang w:val="en-GB"/>
        </w:rPr>
        <w:t xml:space="preserve">  </w:t>
      </w:r>
      <w:r w:rsidRPr="00A86A87">
        <w:rPr>
          <w:bCs/>
          <w:sz w:val="22"/>
          <w:szCs w:val="22"/>
          <w:lang w:val="en-GB"/>
        </w:rPr>
        <w:t>To provide for studies, possible regulatory measures for</w:t>
      </w:r>
      <w:r w:rsidRPr="00A86A87">
        <w:rPr>
          <w:b/>
          <w:sz w:val="22"/>
          <w:szCs w:val="22"/>
          <w:lang w:val="en-GB"/>
        </w:rPr>
        <w:t xml:space="preserve"> </w:t>
      </w:r>
      <w:r w:rsidRPr="00A86A87">
        <w:rPr>
          <w:sz w:val="22"/>
          <w:szCs w:val="22"/>
        </w:rPr>
        <w:t>an inter-satellite service allocation in the frequency bands 3 700 - 4 200 MHz (space-to-Earth) and 5 925-6 425 MHz (Earth-to-space) for non-</w:t>
      </w:r>
      <w:r w:rsidRPr="00A86A87">
        <w:rPr>
          <w:sz w:val="22"/>
          <w:szCs w:val="22"/>
        </w:rPr>
        <w:lastRenderedPageBreak/>
        <w:t xml:space="preserve">GSO space stations operating at lower orbital altitudes, in communication with GSO satellites in the fixed-satellite </w:t>
      </w:r>
      <w:proofErr w:type="gramStart"/>
      <w:r w:rsidRPr="00A86A87">
        <w:rPr>
          <w:sz w:val="22"/>
          <w:szCs w:val="22"/>
        </w:rPr>
        <w:t>service;</w:t>
      </w:r>
      <w:proofErr w:type="gramEnd"/>
    </w:p>
    <w:p w14:paraId="2AB29966" w14:textId="77777777" w:rsidR="00833D80" w:rsidRPr="00A86A87" w:rsidRDefault="00833D80" w:rsidP="00833D80">
      <w:pPr>
        <w:rPr>
          <w:b/>
          <w:bCs/>
          <w:sz w:val="22"/>
          <w:szCs w:val="22"/>
        </w:rPr>
      </w:pPr>
    </w:p>
    <w:p w14:paraId="20B3B593" w14:textId="77777777" w:rsidR="00833D80" w:rsidRPr="00A86A87" w:rsidRDefault="00833D80" w:rsidP="00833D80">
      <w:pPr>
        <w:rPr>
          <w:b/>
          <w:bCs/>
          <w:sz w:val="22"/>
          <w:szCs w:val="22"/>
        </w:rPr>
      </w:pPr>
    </w:p>
    <w:p w14:paraId="29498D60" w14:textId="77777777" w:rsidR="00833D80" w:rsidRPr="00A86A87" w:rsidRDefault="00833D80" w:rsidP="00833D80">
      <w:pPr>
        <w:pStyle w:val="Proposal"/>
        <w:rPr>
          <w:rFonts w:hAnsi="Times New Roman"/>
          <w:sz w:val="22"/>
          <w:szCs w:val="22"/>
        </w:rPr>
      </w:pPr>
      <w:r w:rsidRPr="00A86A87">
        <w:rPr>
          <w:rFonts w:hAnsi="Times New Roman"/>
          <w:sz w:val="22"/>
          <w:szCs w:val="22"/>
        </w:rPr>
        <w:t>ADD</w:t>
      </w:r>
      <w:proofErr w:type="gramStart"/>
      <w:r w:rsidRPr="00A86A87">
        <w:rPr>
          <w:rFonts w:hAnsi="Times New Roman"/>
          <w:sz w:val="22"/>
          <w:szCs w:val="22"/>
        </w:rPr>
        <w:tab/>
        <w:t xml:space="preserve">  USA</w:t>
      </w:r>
      <w:proofErr w:type="gramEnd"/>
      <w:r w:rsidRPr="00A86A87">
        <w:rPr>
          <w:rFonts w:hAnsi="Times New Roman"/>
          <w:sz w:val="22"/>
          <w:szCs w:val="22"/>
        </w:rPr>
        <w:t>/10 (CBAND_ISS)/3</w:t>
      </w:r>
    </w:p>
    <w:p w14:paraId="05C16A37" w14:textId="77777777" w:rsidR="00833D80" w:rsidRPr="00A86A87" w:rsidRDefault="00833D80" w:rsidP="00833D80">
      <w:pPr>
        <w:rPr>
          <w:sz w:val="22"/>
          <w:szCs w:val="22"/>
          <w:lang w:val="en-GB"/>
        </w:rPr>
      </w:pPr>
    </w:p>
    <w:p w14:paraId="68148300" w14:textId="77777777" w:rsidR="00833D80" w:rsidRPr="00A86A87" w:rsidRDefault="00833D80" w:rsidP="00833D80">
      <w:pPr>
        <w:spacing w:after="120"/>
        <w:jc w:val="center"/>
        <w:rPr>
          <w:sz w:val="22"/>
          <w:szCs w:val="22"/>
        </w:rPr>
      </w:pPr>
      <w:r w:rsidRPr="00A86A87">
        <w:rPr>
          <w:sz w:val="22"/>
          <w:szCs w:val="22"/>
        </w:rPr>
        <w:t>RESOLUTION [AI10 ISL] (WRC-23)</w:t>
      </w:r>
    </w:p>
    <w:p w14:paraId="75F29656" w14:textId="77777777" w:rsidR="00833D80" w:rsidRPr="00A86A87" w:rsidRDefault="00833D80" w:rsidP="00833D80">
      <w:pPr>
        <w:jc w:val="center"/>
        <w:rPr>
          <w:b/>
          <w:bCs/>
          <w:sz w:val="22"/>
          <w:szCs w:val="22"/>
        </w:rPr>
      </w:pPr>
      <w:r w:rsidRPr="00A86A87">
        <w:rPr>
          <w:b/>
          <w:bCs/>
          <w:sz w:val="22"/>
          <w:szCs w:val="22"/>
        </w:rPr>
        <w:t xml:space="preserve">Study of technical and operational issues and regulatory provisions for </w:t>
      </w:r>
      <w:bookmarkStart w:id="12" w:name="_Hlk130197838"/>
      <w:r w:rsidRPr="00A86A87">
        <w:rPr>
          <w:b/>
          <w:bCs/>
          <w:sz w:val="22"/>
          <w:szCs w:val="22"/>
        </w:rPr>
        <w:t>adding inter-satellite service allocation in the frequency bands</w:t>
      </w:r>
    </w:p>
    <w:p w14:paraId="767E6902" w14:textId="77777777" w:rsidR="00833D80" w:rsidRPr="00A86A87" w:rsidRDefault="00833D80" w:rsidP="00833D80">
      <w:pPr>
        <w:jc w:val="center"/>
        <w:rPr>
          <w:b/>
          <w:bCs/>
          <w:sz w:val="22"/>
          <w:szCs w:val="22"/>
        </w:rPr>
      </w:pPr>
      <w:bookmarkStart w:id="13" w:name="_Hlk121485204"/>
      <w:r w:rsidRPr="00A86A87">
        <w:rPr>
          <w:b/>
          <w:bCs/>
          <w:sz w:val="22"/>
          <w:szCs w:val="22"/>
        </w:rPr>
        <w:t xml:space="preserve">3 700-4 200 MHz (space-to-Earth) and 5 925-6 425 MHz </w:t>
      </w:r>
      <w:bookmarkEnd w:id="13"/>
      <w:r w:rsidRPr="00A86A87">
        <w:rPr>
          <w:b/>
          <w:bCs/>
          <w:sz w:val="22"/>
          <w:szCs w:val="22"/>
        </w:rPr>
        <w:t xml:space="preserve">(Earth-to-space) for non-GSO user space stations operating at lower orbital altitudes, in communication with GSO satellites in the fixed-satellite </w:t>
      </w:r>
      <w:proofErr w:type="gramStart"/>
      <w:r w:rsidRPr="00A86A87">
        <w:rPr>
          <w:b/>
          <w:bCs/>
          <w:sz w:val="22"/>
          <w:szCs w:val="22"/>
        </w:rPr>
        <w:t>service</w:t>
      </w:r>
      <w:proofErr w:type="gramEnd"/>
      <w:r w:rsidRPr="00A86A87">
        <w:rPr>
          <w:b/>
          <w:bCs/>
          <w:sz w:val="22"/>
          <w:szCs w:val="22"/>
        </w:rPr>
        <w:t xml:space="preserve"> </w:t>
      </w:r>
    </w:p>
    <w:bookmarkEnd w:id="12"/>
    <w:p w14:paraId="6A8F7706" w14:textId="77777777" w:rsidR="00833D80" w:rsidRPr="00A86A87" w:rsidRDefault="00833D80" w:rsidP="00833D80">
      <w:pPr>
        <w:jc w:val="center"/>
        <w:rPr>
          <w:b/>
          <w:bCs/>
          <w:sz w:val="22"/>
          <w:szCs w:val="22"/>
        </w:rPr>
      </w:pPr>
    </w:p>
    <w:p w14:paraId="1CD6006B"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The World Radiocommunication Conference (Dubai, 2023),</w:t>
      </w:r>
    </w:p>
    <w:p w14:paraId="58DAB72D" w14:textId="77777777" w:rsidR="00833D80" w:rsidRPr="00A86A87" w:rsidRDefault="00833D80" w:rsidP="00865FE5">
      <w:pPr>
        <w:autoSpaceDE w:val="0"/>
        <w:autoSpaceDN w:val="0"/>
        <w:adjustRightInd w:val="0"/>
        <w:spacing w:before="120" w:after="120"/>
        <w:ind w:firstLine="708"/>
        <w:jc w:val="both"/>
        <w:rPr>
          <w:rFonts w:eastAsiaTheme="minorHAnsi"/>
          <w:i/>
          <w:iCs/>
          <w:sz w:val="22"/>
          <w:szCs w:val="22"/>
        </w:rPr>
      </w:pPr>
      <w:r w:rsidRPr="00A86A87">
        <w:rPr>
          <w:rFonts w:eastAsiaTheme="minorHAnsi"/>
          <w:i/>
          <w:iCs/>
          <w:sz w:val="22"/>
          <w:szCs w:val="22"/>
        </w:rPr>
        <w:t>considering</w:t>
      </w:r>
    </w:p>
    <w:p w14:paraId="59B21CED"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 xml:space="preserve">a) </w:t>
      </w:r>
      <w:r w:rsidRPr="00A86A87">
        <w:rPr>
          <w:rFonts w:eastAsiaTheme="minorHAnsi"/>
          <w:i/>
          <w:iCs/>
          <w:sz w:val="22"/>
          <w:szCs w:val="22"/>
        </w:rPr>
        <w:tab/>
      </w:r>
      <w:r w:rsidRPr="00A86A87">
        <w:rPr>
          <w:rFonts w:eastAsiaTheme="minorHAnsi"/>
          <w:sz w:val="22"/>
          <w:szCs w:val="22"/>
        </w:rPr>
        <w:t xml:space="preserve">that many non-geostationary-satellite orbit (non-GSO) satellites operate with limited and non-real-time connectivity to earth </w:t>
      </w:r>
      <w:proofErr w:type="gramStart"/>
      <w:r w:rsidRPr="00A86A87">
        <w:rPr>
          <w:rFonts w:eastAsiaTheme="minorHAnsi"/>
          <w:sz w:val="22"/>
          <w:szCs w:val="22"/>
        </w:rPr>
        <w:t>stations;</w:t>
      </w:r>
      <w:proofErr w:type="gramEnd"/>
    </w:p>
    <w:p w14:paraId="210C994D"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b)</w:t>
      </w:r>
      <w:r w:rsidRPr="00A86A87">
        <w:rPr>
          <w:rFonts w:eastAsiaTheme="minorHAnsi"/>
          <w:i/>
          <w:iCs/>
          <w:sz w:val="22"/>
          <w:szCs w:val="22"/>
        </w:rPr>
        <w:tab/>
        <w:t xml:space="preserve"> </w:t>
      </w:r>
      <w:r w:rsidRPr="00A86A87">
        <w:rPr>
          <w:rFonts w:eastAsiaTheme="minorHAnsi"/>
          <w:sz w:val="22"/>
          <w:szCs w:val="22"/>
        </w:rPr>
        <w:t xml:space="preserve">that space-to-space communication between such non-GSO satellites and geostationary satellite orbit FSS satellites would enhance the efficiency of operations and that the effective re-use </w:t>
      </w:r>
      <w:proofErr w:type="gramStart"/>
      <w:r w:rsidRPr="00A86A87">
        <w:rPr>
          <w:rFonts w:eastAsiaTheme="minorHAnsi"/>
          <w:sz w:val="22"/>
          <w:szCs w:val="22"/>
        </w:rPr>
        <w:t>of  some</w:t>
      </w:r>
      <w:proofErr w:type="gramEnd"/>
      <w:r w:rsidRPr="00A86A87">
        <w:rPr>
          <w:rFonts w:eastAsiaTheme="minorHAnsi"/>
          <w:sz w:val="22"/>
          <w:szCs w:val="22"/>
        </w:rPr>
        <w:t xml:space="preserve"> frequency bands allocated to the FSS for transmissions between space stations may increase spectral efficiency in those frequency bands;</w:t>
      </w:r>
    </w:p>
    <w:p w14:paraId="7B61D358" w14:textId="77777777" w:rsidR="00833D80" w:rsidRPr="00A86A87" w:rsidRDefault="00833D80" w:rsidP="00865FE5">
      <w:pPr>
        <w:autoSpaceDE w:val="0"/>
        <w:autoSpaceDN w:val="0"/>
        <w:adjustRightInd w:val="0"/>
        <w:spacing w:before="120" w:after="120"/>
        <w:jc w:val="both"/>
        <w:rPr>
          <w:rFonts w:eastAsiaTheme="minorHAnsi"/>
          <w:i/>
          <w:iCs/>
          <w:sz w:val="22"/>
          <w:szCs w:val="22"/>
        </w:rPr>
      </w:pPr>
      <w:r w:rsidRPr="00A86A87">
        <w:rPr>
          <w:rFonts w:eastAsiaTheme="minorHAnsi"/>
          <w:i/>
          <w:iCs/>
          <w:sz w:val="22"/>
          <w:szCs w:val="22"/>
        </w:rPr>
        <w:t>c)</w:t>
      </w:r>
      <w:r w:rsidRPr="00A86A87">
        <w:rPr>
          <w:rFonts w:eastAsiaTheme="minorHAnsi"/>
          <w:i/>
          <w:iCs/>
          <w:sz w:val="22"/>
          <w:szCs w:val="22"/>
        </w:rPr>
        <w:tab/>
        <w:t xml:space="preserve"> </w:t>
      </w:r>
      <w:r w:rsidRPr="00A86A87">
        <w:rPr>
          <w:rFonts w:eastAsiaTheme="minorHAnsi"/>
          <w:sz w:val="22"/>
          <w:szCs w:val="22"/>
        </w:rPr>
        <w:t xml:space="preserve">that the frequency bands 3 700-4 200 MHz (space-to-Earth) and 5 925-6 425 MHz (Earth-to-space) allocated to the FSS are used for links between earth stations and space </w:t>
      </w:r>
      <w:proofErr w:type="gramStart"/>
      <w:r w:rsidRPr="00A86A87">
        <w:rPr>
          <w:rFonts w:eastAsiaTheme="minorHAnsi"/>
          <w:sz w:val="22"/>
          <w:szCs w:val="22"/>
        </w:rPr>
        <w:t>stations;</w:t>
      </w:r>
      <w:proofErr w:type="gramEnd"/>
    </w:p>
    <w:p w14:paraId="72F5D5E5" w14:textId="77777777" w:rsidR="00833D80" w:rsidRPr="00A86A87" w:rsidRDefault="00833D80" w:rsidP="00865FE5">
      <w:pPr>
        <w:autoSpaceDE w:val="0"/>
        <w:autoSpaceDN w:val="0"/>
        <w:adjustRightInd w:val="0"/>
        <w:jc w:val="both"/>
        <w:rPr>
          <w:rFonts w:eastAsiaTheme="minorHAnsi"/>
          <w:sz w:val="22"/>
          <w:szCs w:val="22"/>
        </w:rPr>
      </w:pPr>
      <w:r w:rsidRPr="00A86A87">
        <w:rPr>
          <w:rFonts w:eastAsiaTheme="minorHAnsi"/>
          <w:i/>
          <w:iCs/>
          <w:sz w:val="22"/>
          <w:szCs w:val="22"/>
        </w:rPr>
        <w:t xml:space="preserve">d) </w:t>
      </w:r>
      <w:r w:rsidRPr="00A86A87">
        <w:rPr>
          <w:rFonts w:eastAsiaTheme="minorHAnsi"/>
          <w:i/>
          <w:iCs/>
          <w:sz w:val="22"/>
          <w:szCs w:val="22"/>
        </w:rPr>
        <w:tab/>
      </w:r>
      <w:r w:rsidRPr="00A86A87">
        <w:rPr>
          <w:rFonts w:eastAsiaTheme="minorHAnsi"/>
          <w:sz w:val="22"/>
          <w:szCs w:val="22"/>
        </w:rPr>
        <w:t>that there is growing interest for utilizing satellite-to-satellite links for a variety of</w:t>
      </w:r>
    </w:p>
    <w:p w14:paraId="5C1BA701" w14:textId="77777777" w:rsidR="00833D80" w:rsidRPr="00A86A87" w:rsidRDefault="00833D80" w:rsidP="00865FE5">
      <w:pPr>
        <w:autoSpaceDE w:val="0"/>
        <w:autoSpaceDN w:val="0"/>
        <w:adjustRightInd w:val="0"/>
        <w:jc w:val="both"/>
        <w:rPr>
          <w:rFonts w:eastAsiaTheme="minorHAnsi"/>
          <w:sz w:val="22"/>
          <w:szCs w:val="22"/>
        </w:rPr>
      </w:pPr>
      <w:r w:rsidRPr="00A86A87">
        <w:rPr>
          <w:rFonts w:eastAsiaTheme="minorHAnsi"/>
          <w:sz w:val="22"/>
          <w:szCs w:val="22"/>
        </w:rPr>
        <w:t>applications and that there have been expressions of interest by some administrations in using the</w:t>
      </w:r>
    </w:p>
    <w:p w14:paraId="2BE2B219" w14:textId="77777777" w:rsidR="00833D80" w:rsidRPr="00A86A87" w:rsidRDefault="00833D80" w:rsidP="00865FE5">
      <w:pPr>
        <w:autoSpaceDE w:val="0"/>
        <w:autoSpaceDN w:val="0"/>
        <w:adjustRightInd w:val="0"/>
        <w:jc w:val="both"/>
        <w:rPr>
          <w:rFonts w:eastAsiaTheme="minorHAnsi"/>
          <w:sz w:val="22"/>
          <w:szCs w:val="22"/>
        </w:rPr>
      </w:pPr>
      <w:r w:rsidRPr="00A86A87">
        <w:rPr>
          <w:rFonts w:eastAsiaTheme="minorHAnsi"/>
          <w:sz w:val="22"/>
          <w:szCs w:val="22"/>
        </w:rPr>
        <w:t xml:space="preserve">frequency bands 3 700-4 200 MHz and 5 925-6 425 MHz for inter-satellite service transmissions between space stations in those frequency </w:t>
      </w:r>
      <w:proofErr w:type="gramStart"/>
      <w:r w:rsidRPr="00A86A87">
        <w:rPr>
          <w:rFonts w:eastAsiaTheme="minorHAnsi"/>
          <w:sz w:val="22"/>
          <w:szCs w:val="22"/>
        </w:rPr>
        <w:t>bands;</w:t>
      </w:r>
      <w:proofErr w:type="gramEnd"/>
      <w:r w:rsidRPr="00A86A87">
        <w:rPr>
          <w:rFonts w:eastAsiaTheme="minorHAnsi"/>
          <w:i/>
          <w:iCs/>
          <w:sz w:val="22"/>
          <w:szCs w:val="22"/>
        </w:rPr>
        <w:t xml:space="preserve"> </w:t>
      </w:r>
    </w:p>
    <w:p w14:paraId="32D72FAA"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e)</w:t>
      </w:r>
      <w:r w:rsidRPr="00A86A87">
        <w:rPr>
          <w:rFonts w:eastAsiaTheme="minorHAnsi"/>
          <w:i/>
          <w:iCs/>
          <w:sz w:val="22"/>
          <w:szCs w:val="22"/>
        </w:rPr>
        <w:tab/>
        <w:t xml:space="preserve"> </w:t>
      </w:r>
      <w:r w:rsidRPr="00A86A87">
        <w:rPr>
          <w:rFonts w:eastAsiaTheme="minorHAnsi"/>
          <w:sz w:val="22"/>
          <w:szCs w:val="22"/>
        </w:rPr>
        <w:t xml:space="preserve">that it is technically feasible for a lower orbital altitude non-GSO space station to transmit data to and receive data from a higher orbital altitude GSO space station when passing within the satellite antenna coverage beam that is directed towards the </w:t>
      </w:r>
      <w:proofErr w:type="gramStart"/>
      <w:r w:rsidRPr="00A86A87">
        <w:rPr>
          <w:rFonts w:eastAsiaTheme="minorHAnsi"/>
          <w:sz w:val="22"/>
          <w:szCs w:val="22"/>
        </w:rPr>
        <w:t>Earth;</w:t>
      </w:r>
      <w:proofErr w:type="gramEnd"/>
    </w:p>
    <w:p w14:paraId="044C6AA6" w14:textId="77777777" w:rsidR="00833D80" w:rsidRPr="00A86A87" w:rsidRDefault="00833D80" w:rsidP="00865FE5">
      <w:pPr>
        <w:autoSpaceDE w:val="0"/>
        <w:autoSpaceDN w:val="0"/>
        <w:adjustRightInd w:val="0"/>
        <w:spacing w:before="120" w:after="120"/>
        <w:jc w:val="both"/>
        <w:rPr>
          <w:rFonts w:eastAsiaTheme="minorHAnsi"/>
          <w:i/>
          <w:iCs/>
          <w:sz w:val="22"/>
          <w:szCs w:val="22"/>
        </w:rPr>
      </w:pPr>
      <w:r w:rsidRPr="00A86A87">
        <w:rPr>
          <w:rFonts w:eastAsiaTheme="minorHAnsi"/>
          <w:i/>
          <w:iCs/>
          <w:sz w:val="22"/>
          <w:szCs w:val="22"/>
        </w:rPr>
        <w:t xml:space="preserve">f) </w:t>
      </w:r>
      <w:r w:rsidRPr="00A86A87">
        <w:rPr>
          <w:rFonts w:eastAsiaTheme="minorHAnsi"/>
          <w:i/>
          <w:iCs/>
          <w:sz w:val="22"/>
          <w:szCs w:val="22"/>
        </w:rPr>
        <w:tab/>
      </w:r>
      <w:r w:rsidRPr="00A86A87">
        <w:rPr>
          <w:rFonts w:eastAsiaTheme="minorHAnsi"/>
          <w:sz w:val="22"/>
          <w:szCs w:val="22"/>
        </w:rPr>
        <w:t>that sharing and compatibility studies were performed between satellite-to-satellite links intending to operate between space stations in the frequency bands 18.1-18.6 GHz, 18.8-20.2 GHz and 27.5-30 GHz and current and planned stations of the FSS and other existing services allocated in same frequency bands and adjacent frequency bands, including passive services, with a view to ensuring protection of the primary services,</w:t>
      </w:r>
    </w:p>
    <w:p w14:paraId="02A40646" w14:textId="77777777" w:rsidR="00833D80" w:rsidRPr="00A86A87" w:rsidRDefault="00833D80" w:rsidP="00865FE5">
      <w:pPr>
        <w:autoSpaceDE w:val="0"/>
        <w:autoSpaceDN w:val="0"/>
        <w:adjustRightInd w:val="0"/>
        <w:spacing w:before="120" w:after="120"/>
        <w:ind w:left="708"/>
        <w:jc w:val="both"/>
        <w:rPr>
          <w:rFonts w:eastAsiaTheme="minorHAnsi"/>
          <w:i/>
          <w:iCs/>
          <w:sz w:val="22"/>
          <w:szCs w:val="22"/>
        </w:rPr>
      </w:pPr>
      <w:r w:rsidRPr="00A86A87">
        <w:rPr>
          <w:rFonts w:eastAsiaTheme="minorHAnsi"/>
          <w:i/>
          <w:iCs/>
          <w:sz w:val="22"/>
          <w:szCs w:val="22"/>
        </w:rPr>
        <w:t>recognizing</w:t>
      </w:r>
    </w:p>
    <w:p w14:paraId="69916619"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a)</w:t>
      </w:r>
      <w:r w:rsidRPr="00A86A87">
        <w:rPr>
          <w:rFonts w:eastAsiaTheme="minorHAnsi"/>
          <w:i/>
          <w:iCs/>
          <w:sz w:val="22"/>
          <w:szCs w:val="22"/>
        </w:rPr>
        <w:tab/>
        <w:t xml:space="preserve"> </w:t>
      </w:r>
      <w:r w:rsidRPr="00A86A87">
        <w:rPr>
          <w:rFonts w:eastAsiaTheme="minorHAnsi"/>
          <w:sz w:val="22"/>
          <w:szCs w:val="22"/>
        </w:rPr>
        <w:t xml:space="preserve">that it is necessary to study the impact to primary services, taking into account applicable footnotes to the Table of Frequency Allocations, through sharing and compatibility studies, the protection of primary allocated services in the frequency bands 3 700-4 200 MHz (space-to-Earth) and 5 925-6 425 MHz (Earth-to-space) and adjacent </w:t>
      </w:r>
      <w:proofErr w:type="gramStart"/>
      <w:r w:rsidRPr="00A86A87">
        <w:rPr>
          <w:rFonts w:eastAsiaTheme="minorHAnsi"/>
          <w:sz w:val="22"/>
          <w:szCs w:val="22"/>
        </w:rPr>
        <w:t>bands;</w:t>
      </w:r>
      <w:proofErr w:type="gramEnd"/>
    </w:p>
    <w:p w14:paraId="0A06AF8B"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 xml:space="preserve">b) </w:t>
      </w:r>
      <w:r w:rsidRPr="00A86A87">
        <w:rPr>
          <w:rFonts w:eastAsiaTheme="minorHAnsi"/>
          <w:i/>
          <w:iCs/>
          <w:sz w:val="22"/>
          <w:szCs w:val="22"/>
        </w:rPr>
        <w:tab/>
      </w:r>
      <w:r w:rsidRPr="00A86A87">
        <w:rPr>
          <w:rFonts w:eastAsiaTheme="minorHAnsi"/>
          <w:sz w:val="22"/>
          <w:szCs w:val="22"/>
        </w:rPr>
        <w:t xml:space="preserve">that there should be no additional regulatory or technical constraints imposed on incumbent services to which the frequency band and adjacent frequency bands are currently </w:t>
      </w:r>
      <w:proofErr w:type="gramStart"/>
      <w:r w:rsidRPr="00A86A87">
        <w:rPr>
          <w:rFonts w:eastAsiaTheme="minorHAnsi"/>
          <w:sz w:val="22"/>
          <w:szCs w:val="22"/>
        </w:rPr>
        <w:t>allocated;</w:t>
      </w:r>
      <w:proofErr w:type="gramEnd"/>
    </w:p>
    <w:p w14:paraId="3D89258A"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lastRenderedPageBreak/>
        <w:t xml:space="preserve">c) </w:t>
      </w:r>
      <w:r w:rsidRPr="00A86A87">
        <w:rPr>
          <w:rFonts w:eastAsiaTheme="minorHAnsi"/>
          <w:i/>
          <w:iCs/>
          <w:sz w:val="22"/>
          <w:szCs w:val="22"/>
        </w:rPr>
        <w:tab/>
      </w:r>
      <w:r w:rsidRPr="00A86A87">
        <w:rPr>
          <w:rFonts w:eastAsiaTheme="minorHAnsi"/>
          <w:sz w:val="22"/>
          <w:szCs w:val="22"/>
        </w:rPr>
        <w:t xml:space="preserve">that it is necessary to study whether space-to-Earth direction transmissions from GSO space stations can be successfully received by lower orbital altitude non-GSO satellites, without imposing any additional constraints on all allocated services in these frequency </w:t>
      </w:r>
      <w:proofErr w:type="gramStart"/>
      <w:r w:rsidRPr="00A86A87">
        <w:rPr>
          <w:rFonts w:eastAsiaTheme="minorHAnsi"/>
          <w:sz w:val="22"/>
          <w:szCs w:val="22"/>
        </w:rPr>
        <w:t>bands;</w:t>
      </w:r>
      <w:proofErr w:type="gramEnd"/>
    </w:p>
    <w:p w14:paraId="5171E1E5"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 xml:space="preserve">d) </w:t>
      </w:r>
      <w:r w:rsidRPr="00A86A87">
        <w:rPr>
          <w:rFonts w:eastAsiaTheme="minorHAnsi"/>
          <w:i/>
          <w:iCs/>
          <w:sz w:val="22"/>
          <w:szCs w:val="22"/>
        </w:rPr>
        <w:tab/>
      </w:r>
      <w:r w:rsidRPr="00A86A87">
        <w:rPr>
          <w:rFonts w:eastAsiaTheme="minorHAnsi"/>
          <w:sz w:val="22"/>
          <w:szCs w:val="22"/>
        </w:rPr>
        <w:t xml:space="preserve">that the sharing scenarios may vary because of the wide variety of orbital characteristics of the non-GSO FSS space </w:t>
      </w:r>
      <w:proofErr w:type="gramStart"/>
      <w:r w:rsidRPr="00A86A87">
        <w:rPr>
          <w:rFonts w:eastAsiaTheme="minorHAnsi"/>
          <w:sz w:val="22"/>
          <w:szCs w:val="22"/>
        </w:rPr>
        <w:t>stations;</w:t>
      </w:r>
      <w:proofErr w:type="gramEnd"/>
    </w:p>
    <w:p w14:paraId="18F3E1F7"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e)</w:t>
      </w:r>
      <w:r w:rsidRPr="00A86A87">
        <w:rPr>
          <w:rFonts w:eastAsiaTheme="minorHAnsi"/>
          <w:i/>
          <w:iCs/>
          <w:sz w:val="22"/>
          <w:szCs w:val="22"/>
        </w:rPr>
        <w:tab/>
        <w:t xml:space="preserve"> </w:t>
      </w:r>
      <w:r w:rsidRPr="00A86A87">
        <w:rPr>
          <w:rFonts w:eastAsiaTheme="minorHAnsi"/>
          <w:sz w:val="22"/>
          <w:szCs w:val="22"/>
        </w:rPr>
        <w:t xml:space="preserve">that out-of-band emissions, signals due to antenna pattern sidelobes, reflections from receiving space stations and in-band unintentional radiation due to Doppler shifts may impact services operating in the same and adjacent or nearby frequency </w:t>
      </w:r>
      <w:proofErr w:type="gramStart"/>
      <w:r w:rsidRPr="00A86A87">
        <w:rPr>
          <w:rFonts w:eastAsiaTheme="minorHAnsi"/>
          <w:sz w:val="22"/>
          <w:szCs w:val="22"/>
        </w:rPr>
        <w:t>bands;</w:t>
      </w:r>
      <w:proofErr w:type="gramEnd"/>
    </w:p>
    <w:p w14:paraId="5F30770D" w14:textId="77777777" w:rsidR="00833D80" w:rsidRPr="00A86A87" w:rsidRDefault="00833D80" w:rsidP="00833D80">
      <w:pPr>
        <w:autoSpaceDE w:val="0"/>
        <w:autoSpaceDN w:val="0"/>
        <w:adjustRightInd w:val="0"/>
        <w:spacing w:before="120" w:after="120"/>
        <w:ind w:firstLine="708"/>
        <w:rPr>
          <w:rFonts w:eastAsiaTheme="minorHAnsi"/>
          <w:i/>
          <w:iCs/>
          <w:sz w:val="22"/>
          <w:szCs w:val="22"/>
        </w:rPr>
      </w:pPr>
      <w:r w:rsidRPr="00A86A87">
        <w:rPr>
          <w:rFonts w:eastAsiaTheme="minorHAnsi"/>
          <w:i/>
          <w:iCs/>
          <w:sz w:val="22"/>
          <w:szCs w:val="22"/>
        </w:rPr>
        <w:t>recognizing further</w:t>
      </w:r>
    </w:p>
    <w:p w14:paraId="6154220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a)</w:t>
      </w:r>
      <w:r w:rsidRPr="00A86A87">
        <w:rPr>
          <w:rFonts w:eastAsiaTheme="minorHAnsi"/>
          <w:i/>
          <w:iCs/>
          <w:sz w:val="22"/>
          <w:szCs w:val="22"/>
        </w:rPr>
        <w:tab/>
      </w:r>
      <w:r w:rsidRPr="00A86A87">
        <w:rPr>
          <w:rFonts w:eastAsiaTheme="minorHAnsi"/>
          <w:sz w:val="22"/>
          <w:szCs w:val="22"/>
        </w:rPr>
        <w:t xml:space="preserve">that the use of frequency bands by the FSS in the frequency ranges 3 700-4 200 MHz and 5 925-6 425 MHz is subject to existing Resolutions, coordination requirements and country footnotes taking into account, in particular, the protection of primary incumbent </w:t>
      </w:r>
      <w:proofErr w:type="gramStart"/>
      <w:r w:rsidRPr="00A86A87">
        <w:rPr>
          <w:rFonts w:eastAsiaTheme="minorHAnsi"/>
          <w:sz w:val="22"/>
          <w:szCs w:val="22"/>
        </w:rPr>
        <w:t>services;</w:t>
      </w:r>
      <w:proofErr w:type="gramEnd"/>
    </w:p>
    <w:p w14:paraId="73A9A354"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b</w:t>
      </w:r>
      <w:r w:rsidRPr="00A86A87">
        <w:rPr>
          <w:rFonts w:eastAsiaTheme="minorHAnsi"/>
          <w:sz w:val="22"/>
          <w:szCs w:val="22"/>
        </w:rPr>
        <w:t>)</w:t>
      </w:r>
      <w:r w:rsidRPr="00A86A87">
        <w:rPr>
          <w:rFonts w:eastAsiaTheme="minorHAnsi"/>
          <w:sz w:val="22"/>
          <w:szCs w:val="22"/>
        </w:rPr>
        <w:tab/>
        <w:t xml:space="preserve">that the 3700 – 4200 MHz band is allocated to the Fixed and Mobile service on a primary basis in </w:t>
      </w:r>
      <w:proofErr w:type="gramStart"/>
      <w:r w:rsidRPr="00A86A87">
        <w:rPr>
          <w:rFonts w:eastAsiaTheme="minorHAnsi"/>
          <w:sz w:val="22"/>
          <w:szCs w:val="22"/>
        </w:rPr>
        <w:t>Regions</w:t>
      </w:r>
      <w:proofErr w:type="gramEnd"/>
      <w:r w:rsidRPr="00A86A87">
        <w:rPr>
          <w:rFonts w:eastAsiaTheme="minorHAnsi"/>
          <w:sz w:val="22"/>
          <w:szCs w:val="22"/>
        </w:rPr>
        <w:t xml:space="preserve"> 2 and 3, </w:t>
      </w:r>
    </w:p>
    <w:p w14:paraId="4DEBD057"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c</w:t>
      </w:r>
      <w:r w:rsidRPr="00A86A87">
        <w:rPr>
          <w:rFonts w:eastAsiaTheme="minorHAnsi"/>
          <w:sz w:val="22"/>
          <w:szCs w:val="22"/>
        </w:rPr>
        <w:t>)*</w:t>
      </w:r>
      <w:r w:rsidRPr="00A86A87">
        <w:rPr>
          <w:rFonts w:eastAsiaTheme="minorHAnsi"/>
          <w:sz w:val="22"/>
          <w:szCs w:val="22"/>
        </w:rPr>
        <w:tab/>
        <w:t xml:space="preserve">that in </w:t>
      </w:r>
      <w:proofErr w:type="gramStart"/>
      <w:r w:rsidRPr="00A86A87">
        <w:rPr>
          <w:rFonts w:eastAsiaTheme="minorHAnsi"/>
          <w:sz w:val="22"/>
          <w:szCs w:val="22"/>
        </w:rPr>
        <w:t>Region</w:t>
      </w:r>
      <w:proofErr w:type="gramEnd"/>
      <w:r w:rsidRPr="00A86A87">
        <w:rPr>
          <w:rFonts w:eastAsiaTheme="minorHAnsi"/>
          <w:sz w:val="22"/>
          <w:szCs w:val="22"/>
        </w:rPr>
        <w:t xml:space="preserve"> 1, the 3700 – 4200 MHz band is allocated to the fixed service on a primary basis, [the 3700 – 3800 MHz band is allocated to the mobile service on a primary basis]</w:t>
      </w:r>
    </w:p>
    <w:p w14:paraId="6AA47923"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d</w:t>
      </w:r>
      <w:r w:rsidRPr="00A86A87">
        <w:rPr>
          <w:rFonts w:eastAsiaTheme="minorHAnsi"/>
          <w:sz w:val="22"/>
          <w:szCs w:val="22"/>
        </w:rPr>
        <w:t>)</w:t>
      </w:r>
      <w:r w:rsidRPr="00A86A87">
        <w:rPr>
          <w:rFonts w:eastAsiaTheme="minorHAnsi"/>
          <w:sz w:val="22"/>
          <w:szCs w:val="22"/>
        </w:rPr>
        <w:tab/>
        <w:t xml:space="preserve">that the 3700 – 3800 MHz band is identified in </w:t>
      </w:r>
      <w:proofErr w:type="gramStart"/>
      <w:r w:rsidRPr="00A86A87">
        <w:rPr>
          <w:rFonts w:eastAsiaTheme="minorHAnsi"/>
          <w:sz w:val="22"/>
          <w:szCs w:val="22"/>
        </w:rPr>
        <w:t>Region</w:t>
      </w:r>
      <w:proofErr w:type="gramEnd"/>
      <w:r w:rsidRPr="00A86A87">
        <w:rPr>
          <w:rFonts w:eastAsiaTheme="minorHAnsi"/>
          <w:sz w:val="22"/>
          <w:szCs w:val="22"/>
        </w:rPr>
        <w:t xml:space="preserve"> 2 via No. 5.IMT;</w:t>
      </w:r>
    </w:p>
    <w:p w14:paraId="42C8244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e</w:t>
      </w:r>
      <w:r w:rsidRPr="00A86A87">
        <w:rPr>
          <w:rFonts w:eastAsiaTheme="minorHAnsi"/>
          <w:sz w:val="22"/>
          <w:szCs w:val="22"/>
        </w:rPr>
        <w:t>)</w:t>
      </w:r>
      <w:r w:rsidRPr="00A86A87">
        <w:rPr>
          <w:rFonts w:eastAsiaTheme="minorHAnsi"/>
          <w:sz w:val="22"/>
          <w:szCs w:val="22"/>
        </w:rPr>
        <w:tab/>
        <w:t xml:space="preserve">that any future use of ISS in the 3700 – 4200 MHz band shall not claim protection from terrestrial services operating in accordance with the Radio </w:t>
      </w:r>
      <w:proofErr w:type="gramStart"/>
      <w:r w:rsidRPr="00A86A87">
        <w:rPr>
          <w:rFonts w:eastAsiaTheme="minorHAnsi"/>
          <w:sz w:val="22"/>
          <w:szCs w:val="22"/>
        </w:rPr>
        <w:t>Regulations;</w:t>
      </w:r>
      <w:proofErr w:type="gramEnd"/>
    </w:p>
    <w:p w14:paraId="1323CB13" w14:textId="77777777" w:rsidR="00833D80" w:rsidRPr="00A86A87" w:rsidRDefault="00833D80" w:rsidP="00865FE5">
      <w:pPr>
        <w:autoSpaceDE w:val="0"/>
        <w:autoSpaceDN w:val="0"/>
        <w:adjustRightInd w:val="0"/>
        <w:spacing w:after="120"/>
        <w:jc w:val="both"/>
        <w:rPr>
          <w:rFonts w:eastAsiaTheme="minorHAnsi"/>
          <w:sz w:val="22"/>
          <w:szCs w:val="22"/>
        </w:rPr>
      </w:pPr>
      <w:r w:rsidRPr="00A86A87">
        <w:rPr>
          <w:rFonts w:eastAsiaTheme="minorHAnsi"/>
          <w:i/>
          <w:iCs/>
          <w:sz w:val="22"/>
          <w:szCs w:val="22"/>
        </w:rPr>
        <w:t xml:space="preserve">f) </w:t>
      </w:r>
      <w:r w:rsidRPr="00A86A87">
        <w:rPr>
          <w:rFonts w:eastAsiaTheme="minorHAnsi"/>
          <w:i/>
          <w:iCs/>
          <w:sz w:val="22"/>
          <w:szCs w:val="22"/>
        </w:rPr>
        <w:tab/>
      </w:r>
      <w:r w:rsidRPr="00A86A87">
        <w:rPr>
          <w:rFonts w:eastAsiaTheme="minorHAnsi"/>
          <w:sz w:val="22"/>
          <w:szCs w:val="22"/>
        </w:rPr>
        <w:t xml:space="preserve">that the FSS, fixed and mobile services are allocated globally on a co-primary basis in the frequency band 5 925- 6 425 </w:t>
      </w:r>
      <w:proofErr w:type="gramStart"/>
      <w:r w:rsidRPr="00A86A87">
        <w:rPr>
          <w:rFonts w:eastAsiaTheme="minorHAnsi"/>
          <w:sz w:val="22"/>
          <w:szCs w:val="22"/>
        </w:rPr>
        <w:t>MHz;</w:t>
      </w:r>
      <w:proofErr w:type="gramEnd"/>
    </w:p>
    <w:p w14:paraId="5F325C3C"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g)</w:t>
      </w:r>
      <w:r w:rsidRPr="00A86A87">
        <w:rPr>
          <w:rFonts w:eastAsiaTheme="minorHAnsi"/>
          <w:i/>
          <w:iCs/>
          <w:sz w:val="22"/>
          <w:szCs w:val="22"/>
        </w:rPr>
        <w:tab/>
      </w:r>
      <w:r w:rsidRPr="00A86A87">
        <w:rPr>
          <w:rFonts w:eastAsiaTheme="minorHAnsi"/>
          <w:sz w:val="22"/>
          <w:szCs w:val="22"/>
        </w:rPr>
        <w:t>that the use of the frequency bands 3 700-4 200 MHz and 5 925-6 425 MHz by the non-GSO FSS is subject to the application of the provisions 22.5C and 22.</w:t>
      </w:r>
      <w:proofErr w:type="gramStart"/>
      <w:r w:rsidRPr="00A86A87">
        <w:rPr>
          <w:rFonts w:eastAsiaTheme="minorHAnsi"/>
          <w:sz w:val="22"/>
          <w:szCs w:val="22"/>
        </w:rPr>
        <w:t>5D;</w:t>
      </w:r>
      <w:proofErr w:type="gramEnd"/>
    </w:p>
    <w:p w14:paraId="2A095CD0" w14:textId="77777777" w:rsidR="00833D80" w:rsidRPr="00A86A87" w:rsidRDefault="00833D80" w:rsidP="00865FE5">
      <w:pPr>
        <w:autoSpaceDE w:val="0"/>
        <w:autoSpaceDN w:val="0"/>
        <w:adjustRightInd w:val="0"/>
        <w:spacing w:before="120" w:after="120"/>
        <w:jc w:val="both"/>
        <w:rPr>
          <w:rFonts w:eastAsiaTheme="minorHAnsi"/>
          <w:b/>
          <w:bCs/>
          <w:sz w:val="22"/>
          <w:szCs w:val="22"/>
        </w:rPr>
      </w:pPr>
      <w:r w:rsidRPr="00A86A87">
        <w:rPr>
          <w:rFonts w:eastAsiaTheme="minorHAnsi"/>
          <w:i/>
          <w:iCs/>
          <w:sz w:val="22"/>
          <w:szCs w:val="22"/>
        </w:rPr>
        <w:t>g)</w:t>
      </w:r>
      <w:r w:rsidRPr="00A86A87">
        <w:rPr>
          <w:rFonts w:eastAsiaTheme="minorHAnsi"/>
          <w:i/>
          <w:iCs/>
          <w:sz w:val="22"/>
          <w:szCs w:val="22"/>
        </w:rPr>
        <w:tab/>
      </w:r>
      <w:r w:rsidRPr="00A86A87">
        <w:rPr>
          <w:rFonts w:eastAsiaTheme="minorHAnsi"/>
          <w:sz w:val="22"/>
          <w:szCs w:val="22"/>
        </w:rPr>
        <w:t xml:space="preserve">that the frequency bands 5 925-6 425 MHz may be used for the FSS (Earth-to-space) for the provision of earth stations located on board vessels subject to No. </w:t>
      </w:r>
      <w:r w:rsidRPr="00A86A87">
        <w:rPr>
          <w:rFonts w:eastAsiaTheme="minorHAnsi"/>
          <w:b/>
          <w:bCs/>
          <w:sz w:val="22"/>
          <w:szCs w:val="22"/>
        </w:rPr>
        <w:t xml:space="preserve">5.457A </w:t>
      </w:r>
      <w:r w:rsidRPr="00A86A87">
        <w:rPr>
          <w:rFonts w:eastAsiaTheme="minorHAnsi"/>
          <w:sz w:val="22"/>
          <w:szCs w:val="22"/>
        </w:rPr>
        <w:t xml:space="preserve">and </w:t>
      </w:r>
      <w:r w:rsidRPr="00A86A87">
        <w:rPr>
          <w:rFonts w:eastAsiaTheme="minorHAnsi"/>
          <w:b/>
          <w:bCs/>
          <w:sz w:val="22"/>
          <w:szCs w:val="22"/>
        </w:rPr>
        <w:t>5.</w:t>
      </w:r>
      <w:proofErr w:type="gramStart"/>
      <w:r w:rsidRPr="00A86A87">
        <w:rPr>
          <w:rFonts w:eastAsiaTheme="minorHAnsi"/>
          <w:b/>
          <w:bCs/>
          <w:sz w:val="22"/>
          <w:szCs w:val="22"/>
        </w:rPr>
        <w:t>457B;</w:t>
      </w:r>
      <w:proofErr w:type="gramEnd"/>
    </w:p>
    <w:p w14:paraId="443A6A6F"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i/>
          <w:iCs/>
          <w:sz w:val="22"/>
          <w:szCs w:val="22"/>
        </w:rPr>
        <w:t>i)</w:t>
      </w:r>
      <w:r w:rsidRPr="00A86A87">
        <w:rPr>
          <w:rFonts w:eastAsiaTheme="minorHAnsi"/>
          <w:i/>
          <w:iCs/>
          <w:sz w:val="22"/>
          <w:szCs w:val="22"/>
        </w:rPr>
        <w:tab/>
      </w:r>
      <w:r w:rsidRPr="00A86A87">
        <w:rPr>
          <w:rFonts w:eastAsiaTheme="minorHAnsi"/>
          <w:sz w:val="22"/>
          <w:szCs w:val="22"/>
        </w:rPr>
        <w:t xml:space="preserve">that the use of the frequency bands 5 925-6 425 MHz by aeronautical mobile telemetry is subject to the application of the provisions of No. </w:t>
      </w:r>
      <w:r w:rsidRPr="00A86A87">
        <w:rPr>
          <w:rFonts w:eastAsiaTheme="minorHAnsi"/>
          <w:b/>
          <w:bCs/>
          <w:sz w:val="22"/>
          <w:szCs w:val="22"/>
        </w:rPr>
        <w:t>5.457C</w:t>
      </w:r>
      <w:r w:rsidRPr="00A86A87">
        <w:rPr>
          <w:rFonts w:eastAsiaTheme="minorHAnsi"/>
          <w:sz w:val="22"/>
          <w:szCs w:val="22"/>
        </w:rPr>
        <w:t>,</w:t>
      </w:r>
    </w:p>
    <w:p w14:paraId="1011FA1F"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w:t>
      </w:r>
    </w:p>
    <w:p w14:paraId="1CB529EA"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*This Region 1 allocation for FS/MS is pending the WRC-23 outcome, and this recognizing further should be revised or removed based on the conclusion of AI 1.2/1.3</w:t>
      </w:r>
    </w:p>
    <w:p w14:paraId="6D15C7C1" w14:textId="77777777" w:rsidR="00833D80" w:rsidRPr="00A86A87" w:rsidRDefault="00833D80" w:rsidP="00833D80">
      <w:pPr>
        <w:autoSpaceDE w:val="0"/>
        <w:autoSpaceDN w:val="0"/>
        <w:adjustRightInd w:val="0"/>
        <w:spacing w:before="120" w:after="120"/>
        <w:rPr>
          <w:rFonts w:eastAsiaTheme="minorHAnsi"/>
          <w:sz w:val="22"/>
          <w:szCs w:val="22"/>
        </w:rPr>
      </w:pPr>
    </w:p>
    <w:p w14:paraId="779D1778" w14:textId="77777777" w:rsidR="00833D80" w:rsidRPr="00A86A87" w:rsidRDefault="00833D80" w:rsidP="00833D80">
      <w:pPr>
        <w:autoSpaceDE w:val="0"/>
        <w:autoSpaceDN w:val="0"/>
        <w:adjustRightInd w:val="0"/>
        <w:spacing w:before="120" w:after="120"/>
        <w:ind w:firstLine="708"/>
        <w:rPr>
          <w:rFonts w:eastAsiaTheme="minorHAnsi"/>
          <w:i/>
          <w:iCs/>
          <w:sz w:val="22"/>
          <w:szCs w:val="22"/>
        </w:rPr>
      </w:pPr>
      <w:r w:rsidRPr="00A86A87">
        <w:rPr>
          <w:rFonts w:eastAsiaTheme="minorHAnsi"/>
          <w:i/>
          <w:iCs/>
          <w:sz w:val="22"/>
          <w:szCs w:val="22"/>
        </w:rPr>
        <w:t>resolves to invite the ITU Radiocommunication Sector</w:t>
      </w:r>
    </w:p>
    <w:p w14:paraId="609A4736"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1 </w:t>
      </w:r>
      <w:r w:rsidRPr="00A86A87">
        <w:rPr>
          <w:rFonts w:eastAsiaTheme="minorHAnsi"/>
          <w:sz w:val="22"/>
          <w:szCs w:val="22"/>
        </w:rPr>
        <w:tab/>
        <w:t>to study the technical and operational characteristics of different types of non-GSO space stations that operate or plan to operate space-to-space links with GSO FSS networks in the following frequency bands:</w:t>
      </w:r>
    </w:p>
    <w:p w14:paraId="19AABCC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a)</w:t>
      </w:r>
      <w:r w:rsidRPr="00A86A87">
        <w:rPr>
          <w:rFonts w:eastAsiaTheme="minorHAnsi"/>
          <w:sz w:val="22"/>
          <w:szCs w:val="22"/>
        </w:rPr>
        <w:tab/>
        <w:t>Earth-to-space direction in the frequency bands 5 925-6 425 MHz, f</w:t>
      </w:r>
      <w:r w:rsidRPr="00A86A87">
        <w:rPr>
          <w:sz w:val="22"/>
          <w:szCs w:val="22"/>
          <w:lang w:eastAsia="en-GB"/>
        </w:rPr>
        <w:t>or transmissions from non-GSO user space stations operating at lower orbital altitudes in communication with GSO service provider space stations in the fixed-satellite service</w:t>
      </w:r>
      <w:r w:rsidRPr="00A86A87">
        <w:rPr>
          <w:rFonts w:eastAsiaTheme="minorHAnsi"/>
          <w:sz w:val="22"/>
          <w:szCs w:val="22"/>
        </w:rPr>
        <w:t>; and</w:t>
      </w:r>
    </w:p>
    <w:p w14:paraId="461825A9" w14:textId="77777777" w:rsidR="00833D80" w:rsidRPr="00A86A87" w:rsidRDefault="00833D80" w:rsidP="00865FE5">
      <w:pPr>
        <w:jc w:val="both"/>
        <w:rPr>
          <w:rFonts w:eastAsiaTheme="minorHAnsi"/>
          <w:sz w:val="22"/>
          <w:szCs w:val="22"/>
        </w:rPr>
      </w:pPr>
      <w:r w:rsidRPr="00A86A87">
        <w:rPr>
          <w:rFonts w:eastAsiaTheme="minorHAnsi"/>
          <w:sz w:val="22"/>
          <w:szCs w:val="22"/>
        </w:rPr>
        <w:t>b)</w:t>
      </w:r>
      <w:r w:rsidRPr="00A86A87">
        <w:rPr>
          <w:rFonts w:eastAsiaTheme="minorHAnsi"/>
          <w:sz w:val="22"/>
          <w:szCs w:val="22"/>
        </w:rPr>
        <w:tab/>
        <w:t>space-to-Earth direction in the frequency bands 3 700-4 200 MHz, f</w:t>
      </w:r>
      <w:r w:rsidRPr="00A86A87">
        <w:rPr>
          <w:sz w:val="22"/>
          <w:szCs w:val="22"/>
          <w:lang w:eastAsia="en-GB"/>
        </w:rPr>
        <w:t xml:space="preserve">or transmissions from FSS GSO service provider space stations, towards non-GSO user space </w:t>
      </w:r>
      <w:proofErr w:type="gramStart"/>
      <w:r w:rsidRPr="00A86A87">
        <w:rPr>
          <w:sz w:val="22"/>
          <w:szCs w:val="22"/>
          <w:lang w:eastAsia="en-GB"/>
        </w:rPr>
        <w:t>stations</w:t>
      </w:r>
      <w:r w:rsidRPr="00A86A87">
        <w:rPr>
          <w:rFonts w:eastAsiaTheme="minorHAnsi"/>
          <w:sz w:val="22"/>
          <w:szCs w:val="22"/>
        </w:rPr>
        <w:t>;</w:t>
      </w:r>
      <w:proofErr w:type="gramEnd"/>
    </w:p>
    <w:p w14:paraId="27698D4D" w14:textId="77777777" w:rsidR="00833D80" w:rsidRPr="00A86A87" w:rsidRDefault="00833D80" w:rsidP="00833D80">
      <w:pPr>
        <w:autoSpaceDE w:val="0"/>
        <w:autoSpaceDN w:val="0"/>
        <w:adjustRightInd w:val="0"/>
        <w:spacing w:before="120" w:after="120"/>
        <w:rPr>
          <w:rFonts w:eastAsiaTheme="minorHAnsi"/>
          <w:sz w:val="22"/>
          <w:szCs w:val="22"/>
        </w:rPr>
      </w:pPr>
      <w:r w:rsidRPr="00A86A87">
        <w:rPr>
          <w:rFonts w:eastAsiaTheme="minorHAnsi"/>
          <w:sz w:val="22"/>
          <w:szCs w:val="22"/>
        </w:rPr>
        <w:lastRenderedPageBreak/>
        <w:t xml:space="preserve">2 </w:t>
      </w:r>
      <w:r w:rsidRPr="00A86A87">
        <w:rPr>
          <w:rFonts w:eastAsiaTheme="minorHAnsi"/>
          <w:sz w:val="22"/>
          <w:szCs w:val="22"/>
        </w:rPr>
        <w:tab/>
        <w:t xml:space="preserve">to study sharing and compatibility between inter-satellite service space-to-space links in the cases described in </w:t>
      </w:r>
      <w:r w:rsidRPr="00A86A87">
        <w:rPr>
          <w:rFonts w:eastAsiaTheme="minorHAnsi"/>
          <w:i/>
          <w:iCs/>
          <w:sz w:val="22"/>
          <w:szCs w:val="22"/>
        </w:rPr>
        <w:t xml:space="preserve">resolves to invite the ITU Radiocommunication Sector </w:t>
      </w:r>
      <w:r w:rsidRPr="00A86A87">
        <w:rPr>
          <w:rFonts w:eastAsiaTheme="minorHAnsi"/>
          <w:sz w:val="22"/>
          <w:szCs w:val="22"/>
        </w:rPr>
        <w:t>1 and</w:t>
      </w:r>
    </w:p>
    <w:p w14:paraId="175E92B3" w14:textId="77777777" w:rsidR="00833D80" w:rsidRPr="00A86A87" w:rsidRDefault="00833D80" w:rsidP="00833D80">
      <w:pPr>
        <w:autoSpaceDE w:val="0"/>
        <w:autoSpaceDN w:val="0"/>
        <w:adjustRightInd w:val="0"/>
        <w:spacing w:before="120" w:after="120"/>
        <w:rPr>
          <w:rFonts w:eastAsiaTheme="minorHAnsi"/>
          <w:sz w:val="22"/>
          <w:szCs w:val="22"/>
        </w:rPr>
      </w:pPr>
      <w:r w:rsidRPr="00A86A87">
        <w:rPr>
          <w:rFonts w:eastAsiaTheme="minorHAnsi"/>
          <w:sz w:val="22"/>
          <w:szCs w:val="22"/>
        </w:rPr>
        <w:t xml:space="preserve">– </w:t>
      </w:r>
      <w:r w:rsidRPr="00A86A87">
        <w:rPr>
          <w:rFonts w:eastAsiaTheme="minorHAnsi"/>
          <w:sz w:val="22"/>
          <w:szCs w:val="22"/>
        </w:rPr>
        <w:tab/>
        <w:t xml:space="preserve">current and planned stations of the </w:t>
      </w:r>
      <w:proofErr w:type="gramStart"/>
      <w:r w:rsidRPr="00A86A87">
        <w:rPr>
          <w:rFonts w:eastAsiaTheme="minorHAnsi"/>
          <w:sz w:val="22"/>
          <w:szCs w:val="22"/>
        </w:rPr>
        <w:t>FSS;</w:t>
      </w:r>
      <w:proofErr w:type="gramEnd"/>
    </w:p>
    <w:p w14:paraId="222E9AB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 </w:t>
      </w:r>
      <w:r w:rsidRPr="00A86A87">
        <w:rPr>
          <w:rFonts w:eastAsiaTheme="minorHAnsi"/>
          <w:sz w:val="22"/>
          <w:szCs w:val="22"/>
        </w:rPr>
        <w:tab/>
        <w:t>other existing services allocated in the same frequency bands; and</w:t>
      </w:r>
    </w:p>
    <w:p w14:paraId="70F164F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 </w:t>
      </w:r>
      <w:r w:rsidRPr="00A86A87">
        <w:rPr>
          <w:rFonts w:eastAsiaTheme="minorHAnsi"/>
          <w:sz w:val="22"/>
          <w:szCs w:val="22"/>
        </w:rPr>
        <w:tab/>
        <w:t>other existing services allocated in adjacent frequency bands,</w:t>
      </w:r>
    </w:p>
    <w:p w14:paraId="77BA8049"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in order to ensure protection of, and not impose undue constraints on, other services allocated in those frequency bands and in adjacent frequency bands, taking into account </w:t>
      </w:r>
      <w:r w:rsidRPr="00A86A87">
        <w:rPr>
          <w:rFonts w:eastAsiaTheme="minorHAnsi"/>
          <w:i/>
          <w:iCs/>
          <w:sz w:val="22"/>
          <w:szCs w:val="22"/>
        </w:rPr>
        <w:t xml:space="preserve">recognizing further a) </w:t>
      </w:r>
      <w:r w:rsidRPr="00A86A87">
        <w:rPr>
          <w:rFonts w:eastAsiaTheme="minorHAnsi"/>
          <w:sz w:val="22"/>
          <w:szCs w:val="22"/>
        </w:rPr>
        <w:t>to i</w:t>
      </w:r>
      <w:proofErr w:type="gramStart"/>
      <w:r w:rsidRPr="00A86A87">
        <w:rPr>
          <w:rFonts w:eastAsiaTheme="minorHAnsi"/>
          <w:i/>
          <w:iCs/>
          <w:sz w:val="22"/>
          <w:szCs w:val="22"/>
        </w:rPr>
        <w:t>)</w:t>
      </w:r>
      <w:r w:rsidRPr="00A86A87">
        <w:rPr>
          <w:rFonts w:eastAsiaTheme="minorHAnsi"/>
          <w:sz w:val="22"/>
          <w:szCs w:val="22"/>
        </w:rPr>
        <w:t>;</w:t>
      </w:r>
      <w:proofErr w:type="gramEnd"/>
    </w:p>
    <w:p w14:paraId="48D871C5"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3 </w:t>
      </w:r>
      <w:r w:rsidRPr="00A86A87">
        <w:rPr>
          <w:rFonts w:eastAsiaTheme="minorHAnsi"/>
          <w:sz w:val="22"/>
          <w:szCs w:val="22"/>
        </w:rPr>
        <w:tab/>
        <w:t xml:space="preserve">to develop technical conditions and regulatory provisions for the operation of ISS links in these frequency bands, taking into account the results of the studies called for in </w:t>
      </w:r>
      <w:r w:rsidRPr="00A86A87">
        <w:rPr>
          <w:rFonts w:eastAsiaTheme="minorHAnsi"/>
          <w:i/>
          <w:iCs/>
          <w:sz w:val="22"/>
          <w:szCs w:val="22"/>
        </w:rPr>
        <w:t xml:space="preserve">resolves to invite the ITU Radiocommunication Sector </w:t>
      </w:r>
      <w:r w:rsidRPr="00A86A87">
        <w:rPr>
          <w:rFonts w:eastAsiaTheme="minorHAnsi"/>
          <w:sz w:val="22"/>
          <w:szCs w:val="22"/>
        </w:rPr>
        <w:t xml:space="preserve">1 and 2 </w:t>
      </w:r>
      <w:proofErr w:type="gramStart"/>
      <w:r w:rsidRPr="00A86A87">
        <w:rPr>
          <w:rFonts w:eastAsiaTheme="minorHAnsi"/>
          <w:sz w:val="22"/>
          <w:szCs w:val="22"/>
        </w:rPr>
        <w:t>above;</w:t>
      </w:r>
      <w:proofErr w:type="gramEnd"/>
    </w:p>
    <w:p w14:paraId="32917925" w14:textId="77777777" w:rsidR="00833D80" w:rsidRPr="00A86A87" w:rsidRDefault="00833D80" w:rsidP="00833D80">
      <w:pPr>
        <w:autoSpaceDE w:val="0"/>
        <w:autoSpaceDN w:val="0"/>
        <w:adjustRightInd w:val="0"/>
        <w:spacing w:before="120" w:after="120"/>
        <w:rPr>
          <w:rFonts w:eastAsiaTheme="minorHAnsi"/>
          <w:sz w:val="22"/>
          <w:szCs w:val="22"/>
        </w:rPr>
      </w:pPr>
      <w:r w:rsidRPr="00A86A87">
        <w:rPr>
          <w:rFonts w:eastAsiaTheme="minorHAnsi"/>
          <w:sz w:val="22"/>
          <w:szCs w:val="22"/>
        </w:rPr>
        <w:t xml:space="preserve">4 </w:t>
      </w:r>
      <w:r w:rsidRPr="00A86A87">
        <w:rPr>
          <w:rFonts w:eastAsiaTheme="minorHAnsi"/>
          <w:sz w:val="22"/>
          <w:szCs w:val="22"/>
        </w:rPr>
        <w:tab/>
        <w:t>to complete these studies by WRC-27,</w:t>
      </w:r>
    </w:p>
    <w:p w14:paraId="11E14D79" w14:textId="77777777" w:rsidR="00833D80" w:rsidRPr="00A86A87" w:rsidRDefault="00833D80" w:rsidP="00865FE5">
      <w:pPr>
        <w:tabs>
          <w:tab w:val="left" w:pos="3755"/>
        </w:tabs>
        <w:autoSpaceDE w:val="0"/>
        <w:autoSpaceDN w:val="0"/>
        <w:adjustRightInd w:val="0"/>
        <w:spacing w:before="120" w:after="120"/>
        <w:ind w:firstLine="708"/>
        <w:jc w:val="both"/>
        <w:rPr>
          <w:rFonts w:eastAsiaTheme="minorHAnsi"/>
          <w:i/>
          <w:iCs/>
          <w:sz w:val="22"/>
          <w:szCs w:val="22"/>
        </w:rPr>
      </w:pPr>
      <w:r w:rsidRPr="00A86A87">
        <w:rPr>
          <w:rFonts w:eastAsiaTheme="minorHAnsi"/>
          <w:i/>
          <w:iCs/>
          <w:sz w:val="22"/>
          <w:szCs w:val="22"/>
        </w:rPr>
        <w:t xml:space="preserve">invites </w:t>
      </w:r>
      <w:proofErr w:type="gramStart"/>
      <w:r w:rsidRPr="00A86A87">
        <w:rPr>
          <w:rFonts w:eastAsiaTheme="minorHAnsi"/>
          <w:i/>
          <w:iCs/>
          <w:sz w:val="22"/>
          <w:szCs w:val="22"/>
        </w:rPr>
        <w:t>administrations</w:t>
      </w:r>
      <w:proofErr w:type="gramEnd"/>
      <w:r w:rsidRPr="00A86A87">
        <w:rPr>
          <w:rFonts w:eastAsiaTheme="minorHAnsi"/>
          <w:i/>
          <w:iCs/>
          <w:sz w:val="22"/>
          <w:szCs w:val="22"/>
        </w:rPr>
        <w:tab/>
      </w:r>
    </w:p>
    <w:p w14:paraId="0B65C3F2"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to participate in the studies by submitting contributions to ITU-R,</w:t>
      </w:r>
    </w:p>
    <w:p w14:paraId="5A1ADC1A" w14:textId="77777777" w:rsidR="00833D80" w:rsidRPr="00A86A87" w:rsidRDefault="00833D80" w:rsidP="00865FE5">
      <w:pPr>
        <w:autoSpaceDE w:val="0"/>
        <w:autoSpaceDN w:val="0"/>
        <w:adjustRightInd w:val="0"/>
        <w:spacing w:before="120" w:after="120"/>
        <w:ind w:firstLine="708"/>
        <w:jc w:val="both"/>
        <w:rPr>
          <w:rFonts w:eastAsiaTheme="minorHAnsi"/>
          <w:i/>
          <w:iCs/>
          <w:sz w:val="22"/>
          <w:szCs w:val="22"/>
        </w:rPr>
      </w:pPr>
      <w:r w:rsidRPr="00A86A87">
        <w:rPr>
          <w:rFonts w:eastAsiaTheme="minorHAnsi"/>
          <w:i/>
          <w:iCs/>
          <w:sz w:val="22"/>
          <w:szCs w:val="22"/>
        </w:rPr>
        <w:t>invites the 2027 World Radiocommunication Conference</w:t>
      </w:r>
    </w:p>
    <w:p w14:paraId="537AAC55" w14:textId="77777777" w:rsidR="00833D80" w:rsidRPr="00A86A87" w:rsidRDefault="00833D80" w:rsidP="00865FE5">
      <w:pPr>
        <w:autoSpaceDE w:val="0"/>
        <w:autoSpaceDN w:val="0"/>
        <w:adjustRightInd w:val="0"/>
        <w:spacing w:before="120" w:after="120"/>
        <w:jc w:val="both"/>
        <w:rPr>
          <w:rFonts w:eastAsiaTheme="minorHAnsi"/>
          <w:sz w:val="22"/>
          <w:szCs w:val="22"/>
        </w:rPr>
      </w:pPr>
      <w:r w:rsidRPr="00A86A87">
        <w:rPr>
          <w:rFonts w:eastAsiaTheme="minorHAnsi"/>
          <w:sz w:val="22"/>
          <w:szCs w:val="22"/>
        </w:rPr>
        <w:t xml:space="preserve">to consider the results of the above studies and take necessary regulatory actions, as </w:t>
      </w:r>
      <w:proofErr w:type="gramStart"/>
      <w:r w:rsidRPr="00A86A87">
        <w:rPr>
          <w:rFonts w:eastAsiaTheme="minorHAnsi"/>
          <w:sz w:val="22"/>
          <w:szCs w:val="22"/>
        </w:rPr>
        <w:t>appropriate</w:t>
      </w:r>
      <w:proofErr w:type="gramEnd"/>
    </w:p>
    <w:p w14:paraId="24321F62" w14:textId="77777777" w:rsidR="00833D80" w:rsidRPr="00A86A87" w:rsidRDefault="00833D80" w:rsidP="00833D80">
      <w:pPr>
        <w:autoSpaceDE w:val="0"/>
        <w:autoSpaceDN w:val="0"/>
        <w:adjustRightInd w:val="0"/>
        <w:spacing w:before="120" w:after="120"/>
        <w:rPr>
          <w:rFonts w:eastAsiaTheme="minorHAnsi"/>
          <w:sz w:val="22"/>
          <w:szCs w:val="22"/>
        </w:rPr>
      </w:pPr>
    </w:p>
    <w:p w14:paraId="31EAB8A9" w14:textId="77777777" w:rsidR="00833D80" w:rsidRPr="00A86A87" w:rsidRDefault="00833D80" w:rsidP="00833D80">
      <w:pPr>
        <w:autoSpaceDE w:val="0"/>
        <w:autoSpaceDN w:val="0"/>
        <w:adjustRightInd w:val="0"/>
        <w:spacing w:before="120" w:after="120"/>
        <w:rPr>
          <w:rFonts w:eastAsiaTheme="minorHAnsi"/>
          <w:sz w:val="22"/>
          <w:szCs w:val="22"/>
        </w:rPr>
      </w:pPr>
    </w:p>
    <w:p w14:paraId="14BAFEDE" w14:textId="77777777" w:rsidR="00833D80" w:rsidRDefault="00833D80" w:rsidP="00833D80">
      <w:pPr>
        <w:autoSpaceDE w:val="0"/>
        <w:autoSpaceDN w:val="0"/>
        <w:adjustRightInd w:val="0"/>
        <w:spacing w:before="120" w:after="120"/>
        <w:rPr>
          <w:rFonts w:eastAsiaTheme="minorHAnsi"/>
          <w:sz w:val="22"/>
          <w:szCs w:val="22"/>
        </w:rPr>
      </w:pPr>
    </w:p>
    <w:p w14:paraId="4A8C36F2" w14:textId="77777777" w:rsidR="00865FE5" w:rsidRDefault="00865FE5" w:rsidP="00833D80">
      <w:pPr>
        <w:autoSpaceDE w:val="0"/>
        <w:autoSpaceDN w:val="0"/>
        <w:adjustRightInd w:val="0"/>
        <w:spacing w:before="120" w:after="120"/>
        <w:rPr>
          <w:rFonts w:eastAsiaTheme="minorHAnsi"/>
          <w:sz w:val="22"/>
          <w:szCs w:val="22"/>
        </w:rPr>
      </w:pPr>
    </w:p>
    <w:p w14:paraId="63783579" w14:textId="77777777" w:rsidR="00865FE5" w:rsidRDefault="00865FE5" w:rsidP="00833D80">
      <w:pPr>
        <w:autoSpaceDE w:val="0"/>
        <w:autoSpaceDN w:val="0"/>
        <w:adjustRightInd w:val="0"/>
        <w:spacing w:before="120" w:after="120"/>
        <w:rPr>
          <w:rFonts w:eastAsiaTheme="minorHAnsi"/>
          <w:sz w:val="22"/>
          <w:szCs w:val="22"/>
        </w:rPr>
      </w:pPr>
    </w:p>
    <w:p w14:paraId="756D0A88" w14:textId="77777777" w:rsidR="00865FE5" w:rsidRDefault="00865FE5" w:rsidP="00833D80">
      <w:pPr>
        <w:autoSpaceDE w:val="0"/>
        <w:autoSpaceDN w:val="0"/>
        <w:adjustRightInd w:val="0"/>
        <w:spacing w:before="120" w:after="120"/>
        <w:rPr>
          <w:rFonts w:eastAsiaTheme="minorHAnsi"/>
          <w:sz w:val="22"/>
          <w:szCs w:val="22"/>
        </w:rPr>
      </w:pPr>
    </w:p>
    <w:p w14:paraId="13F4060F" w14:textId="77777777" w:rsidR="00865FE5" w:rsidRDefault="00865FE5" w:rsidP="00833D80">
      <w:pPr>
        <w:autoSpaceDE w:val="0"/>
        <w:autoSpaceDN w:val="0"/>
        <w:adjustRightInd w:val="0"/>
        <w:spacing w:before="120" w:after="120"/>
        <w:rPr>
          <w:rFonts w:eastAsiaTheme="minorHAnsi"/>
          <w:sz w:val="22"/>
          <w:szCs w:val="22"/>
        </w:rPr>
      </w:pPr>
    </w:p>
    <w:p w14:paraId="76BE9CAD" w14:textId="77777777" w:rsidR="00865FE5" w:rsidRDefault="00865FE5" w:rsidP="00833D80">
      <w:pPr>
        <w:autoSpaceDE w:val="0"/>
        <w:autoSpaceDN w:val="0"/>
        <w:adjustRightInd w:val="0"/>
        <w:spacing w:before="120" w:after="120"/>
        <w:rPr>
          <w:rFonts w:eastAsiaTheme="minorHAnsi"/>
          <w:sz w:val="22"/>
          <w:szCs w:val="22"/>
        </w:rPr>
      </w:pPr>
    </w:p>
    <w:p w14:paraId="190FCFA5" w14:textId="77777777" w:rsidR="00865FE5" w:rsidRDefault="00865FE5" w:rsidP="00833D80">
      <w:pPr>
        <w:autoSpaceDE w:val="0"/>
        <w:autoSpaceDN w:val="0"/>
        <w:adjustRightInd w:val="0"/>
        <w:spacing w:before="120" w:after="120"/>
        <w:rPr>
          <w:rFonts w:eastAsiaTheme="minorHAnsi"/>
          <w:sz w:val="22"/>
          <w:szCs w:val="22"/>
        </w:rPr>
      </w:pPr>
    </w:p>
    <w:p w14:paraId="50289A27" w14:textId="77777777" w:rsidR="00865FE5" w:rsidRDefault="00865FE5" w:rsidP="00833D80">
      <w:pPr>
        <w:autoSpaceDE w:val="0"/>
        <w:autoSpaceDN w:val="0"/>
        <w:adjustRightInd w:val="0"/>
        <w:spacing w:before="120" w:after="120"/>
        <w:rPr>
          <w:rFonts w:eastAsiaTheme="minorHAnsi"/>
          <w:sz w:val="22"/>
          <w:szCs w:val="22"/>
        </w:rPr>
      </w:pPr>
    </w:p>
    <w:p w14:paraId="0AAAE64D" w14:textId="77777777" w:rsidR="00865FE5" w:rsidRDefault="00865FE5" w:rsidP="00833D80">
      <w:pPr>
        <w:autoSpaceDE w:val="0"/>
        <w:autoSpaceDN w:val="0"/>
        <w:adjustRightInd w:val="0"/>
        <w:spacing w:before="120" w:after="120"/>
        <w:rPr>
          <w:rFonts w:eastAsiaTheme="minorHAnsi"/>
          <w:sz w:val="22"/>
          <w:szCs w:val="22"/>
        </w:rPr>
      </w:pPr>
    </w:p>
    <w:p w14:paraId="3404D4C9" w14:textId="77777777" w:rsidR="00865FE5" w:rsidRDefault="00865FE5" w:rsidP="00833D80">
      <w:pPr>
        <w:autoSpaceDE w:val="0"/>
        <w:autoSpaceDN w:val="0"/>
        <w:adjustRightInd w:val="0"/>
        <w:spacing w:before="120" w:after="120"/>
        <w:rPr>
          <w:rFonts w:eastAsiaTheme="minorHAnsi"/>
          <w:sz w:val="22"/>
          <w:szCs w:val="22"/>
        </w:rPr>
      </w:pPr>
    </w:p>
    <w:p w14:paraId="6B0E61F3" w14:textId="77777777" w:rsidR="00865FE5" w:rsidRDefault="00865FE5" w:rsidP="00833D80">
      <w:pPr>
        <w:autoSpaceDE w:val="0"/>
        <w:autoSpaceDN w:val="0"/>
        <w:adjustRightInd w:val="0"/>
        <w:spacing w:before="120" w:after="120"/>
        <w:rPr>
          <w:rFonts w:eastAsiaTheme="minorHAnsi"/>
          <w:sz w:val="22"/>
          <w:szCs w:val="22"/>
        </w:rPr>
      </w:pPr>
    </w:p>
    <w:p w14:paraId="5BC1967F" w14:textId="77777777" w:rsidR="00865FE5" w:rsidRDefault="00865FE5" w:rsidP="00833D80">
      <w:pPr>
        <w:autoSpaceDE w:val="0"/>
        <w:autoSpaceDN w:val="0"/>
        <w:adjustRightInd w:val="0"/>
        <w:spacing w:before="120" w:after="120"/>
        <w:rPr>
          <w:rFonts w:eastAsiaTheme="minorHAnsi"/>
          <w:sz w:val="22"/>
          <w:szCs w:val="22"/>
        </w:rPr>
      </w:pPr>
    </w:p>
    <w:p w14:paraId="14AFCB8D" w14:textId="77777777" w:rsidR="00865FE5" w:rsidRDefault="00865FE5" w:rsidP="00833D80">
      <w:pPr>
        <w:autoSpaceDE w:val="0"/>
        <w:autoSpaceDN w:val="0"/>
        <w:adjustRightInd w:val="0"/>
        <w:spacing w:before="120" w:after="120"/>
        <w:rPr>
          <w:rFonts w:eastAsiaTheme="minorHAnsi"/>
          <w:sz w:val="22"/>
          <w:szCs w:val="22"/>
        </w:rPr>
      </w:pPr>
    </w:p>
    <w:p w14:paraId="7A6CCD90" w14:textId="77777777" w:rsidR="00865FE5" w:rsidRDefault="00865FE5" w:rsidP="00833D80">
      <w:pPr>
        <w:autoSpaceDE w:val="0"/>
        <w:autoSpaceDN w:val="0"/>
        <w:adjustRightInd w:val="0"/>
        <w:spacing w:before="120" w:after="120"/>
        <w:rPr>
          <w:rFonts w:eastAsiaTheme="minorHAnsi"/>
          <w:sz w:val="22"/>
          <w:szCs w:val="22"/>
        </w:rPr>
      </w:pPr>
    </w:p>
    <w:p w14:paraId="7E31F57D" w14:textId="77777777" w:rsidR="00865FE5" w:rsidRDefault="00865FE5" w:rsidP="00833D80">
      <w:pPr>
        <w:autoSpaceDE w:val="0"/>
        <w:autoSpaceDN w:val="0"/>
        <w:adjustRightInd w:val="0"/>
        <w:spacing w:before="120" w:after="120"/>
        <w:rPr>
          <w:rFonts w:eastAsiaTheme="minorHAnsi"/>
          <w:sz w:val="22"/>
          <w:szCs w:val="22"/>
        </w:rPr>
      </w:pPr>
    </w:p>
    <w:p w14:paraId="6B45DED9" w14:textId="77777777" w:rsidR="00865FE5" w:rsidRDefault="00865FE5" w:rsidP="00833D80">
      <w:pPr>
        <w:autoSpaceDE w:val="0"/>
        <w:autoSpaceDN w:val="0"/>
        <w:adjustRightInd w:val="0"/>
        <w:spacing w:before="120" w:after="120"/>
        <w:rPr>
          <w:rFonts w:eastAsiaTheme="minorHAnsi"/>
          <w:sz w:val="22"/>
          <w:szCs w:val="22"/>
        </w:rPr>
      </w:pPr>
    </w:p>
    <w:p w14:paraId="2CC36DD8" w14:textId="77777777" w:rsidR="00865FE5" w:rsidRDefault="00865FE5" w:rsidP="00833D80">
      <w:pPr>
        <w:autoSpaceDE w:val="0"/>
        <w:autoSpaceDN w:val="0"/>
        <w:adjustRightInd w:val="0"/>
        <w:spacing w:before="120" w:after="120"/>
        <w:rPr>
          <w:rFonts w:eastAsiaTheme="minorHAnsi"/>
          <w:sz w:val="22"/>
          <w:szCs w:val="22"/>
        </w:rPr>
      </w:pPr>
    </w:p>
    <w:p w14:paraId="6DB1B88C" w14:textId="77777777" w:rsidR="00865FE5" w:rsidRDefault="00865FE5" w:rsidP="00833D80">
      <w:pPr>
        <w:autoSpaceDE w:val="0"/>
        <w:autoSpaceDN w:val="0"/>
        <w:adjustRightInd w:val="0"/>
        <w:spacing w:before="120" w:after="120"/>
        <w:rPr>
          <w:rFonts w:eastAsiaTheme="minorHAnsi"/>
          <w:sz w:val="22"/>
          <w:szCs w:val="22"/>
        </w:rPr>
      </w:pPr>
    </w:p>
    <w:p w14:paraId="1A7BD311" w14:textId="77777777" w:rsidR="00865FE5" w:rsidRPr="00A86A87" w:rsidRDefault="00865FE5" w:rsidP="00833D80">
      <w:pPr>
        <w:autoSpaceDE w:val="0"/>
        <w:autoSpaceDN w:val="0"/>
        <w:adjustRightInd w:val="0"/>
        <w:spacing w:before="120" w:after="120"/>
        <w:rPr>
          <w:rFonts w:eastAsiaTheme="minorHAnsi"/>
          <w:sz w:val="22"/>
          <w:szCs w:val="22"/>
        </w:rPr>
      </w:pPr>
    </w:p>
    <w:p w14:paraId="64D04B76" w14:textId="77777777" w:rsidR="00833D80" w:rsidRPr="00865FE5" w:rsidRDefault="00833D80" w:rsidP="00833D80">
      <w:pPr>
        <w:jc w:val="center"/>
        <w:rPr>
          <w:b/>
          <w:bCs/>
        </w:rPr>
      </w:pPr>
      <w:r w:rsidRPr="00865FE5">
        <w:rPr>
          <w:b/>
          <w:bCs/>
        </w:rPr>
        <w:lastRenderedPageBreak/>
        <w:t>ATTACHMENT</w:t>
      </w:r>
    </w:p>
    <w:p w14:paraId="25EBCC47" w14:textId="77777777" w:rsidR="00833D80" w:rsidRPr="00865FE5" w:rsidRDefault="00833D80" w:rsidP="00833D80">
      <w:pPr>
        <w:rPr>
          <w:b/>
          <w:bCs/>
        </w:rPr>
      </w:pPr>
    </w:p>
    <w:p w14:paraId="62089489" w14:textId="77777777" w:rsidR="00833D80" w:rsidRPr="00865FE5" w:rsidRDefault="00833D80" w:rsidP="00833D80">
      <w:pPr>
        <w:jc w:val="center"/>
        <w:rPr>
          <w:b/>
          <w:bCs/>
        </w:rPr>
      </w:pPr>
      <w:r w:rsidRPr="00865FE5">
        <w:rPr>
          <w:b/>
          <w:bCs/>
        </w:rPr>
        <w:t>PROPOSAL FOR FUTURE AGENDA ITEM FOR [CBAND_ISS]</w:t>
      </w:r>
    </w:p>
    <w:p w14:paraId="7E373650" w14:textId="77777777" w:rsidR="00833D80" w:rsidRPr="00865FE5" w:rsidRDefault="00833D80" w:rsidP="00833D80"/>
    <w:p w14:paraId="272BA682" w14:textId="77777777" w:rsidR="00833D80" w:rsidRPr="00865FE5" w:rsidRDefault="00833D80" w:rsidP="00833D80">
      <w:r w:rsidRPr="00865FE5">
        <w:rPr>
          <w:b/>
        </w:rPr>
        <w:t>Subject:</w:t>
      </w:r>
      <w:r w:rsidRPr="00865FE5">
        <w:t xml:space="preserve"> Proposed WRC-2027 future agenda item to consider, based on the results of ITU</w:t>
      </w:r>
      <w:r w:rsidRPr="00865FE5">
        <w:noBreakHyphen/>
        <w:t>R studies, a spectrum allocation and associated regulatory provisions for an inter-satellite service (ISS) allocation in the frequency bands 3 700 - 4 200 MHz (space-to-Earth) and 5 925-6 425 MHz (Earth-to-space) for non-GSO space stations operating at lower orbital altitudes, in  communication with GSO satellites in the fixed-satellite service Resolution </w:t>
      </w:r>
      <w:r w:rsidRPr="00865FE5">
        <w:rPr>
          <w:b/>
          <w:bCs/>
        </w:rPr>
        <w:t>[CBAND_ISS]</w:t>
      </w:r>
      <w:r w:rsidRPr="00865FE5">
        <w:rPr>
          <w:b/>
        </w:rPr>
        <w:t xml:space="preserve"> (WRC</w:t>
      </w:r>
      <w:r w:rsidRPr="00865FE5">
        <w:rPr>
          <w:b/>
        </w:rPr>
        <w:noBreakHyphen/>
        <w:t>23)</w:t>
      </w:r>
      <w:r w:rsidRPr="00865FE5">
        <w:t>;</w:t>
      </w:r>
    </w:p>
    <w:p w14:paraId="509F7E0D"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11B394BD" w14:textId="77777777" w:rsidR="00833D80" w:rsidRPr="00865FE5" w:rsidRDefault="00833D80" w:rsidP="00833D80">
      <w:pPr>
        <w:rPr>
          <w:b/>
          <w:bCs/>
          <w:i/>
          <w:iCs/>
        </w:rPr>
      </w:pPr>
      <w:r w:rsidRPr="00865FE5">
        <w:rPr>
          <w:b/>
          <w:bCs/>
        </w:rPr>
        <w:t>Origin</w:t>
      </w:r>
      <w:r w:rsidRPr="00865FE5">
        <w:t>: United States of America</w:t>
      </w:r>
    </w:p>
    <w:p w14:paraId="315DCC3C"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7670EEC3" w14:textId="77777777" w:rsidR="00833D80" w:rsidRPr="00865FE5" w:rsidRDefault="00833D80" w:rsidP="00833D80">
      <w:r w:rsidRPr="00865FE5">
        <w:rPr>
          <w:b/>
          <w:bCs/>
          <w:i/>
          <w:iCs/>
        </w:rPr>
        <w:t>Proposal</w:t>
      </w:r>
      <w:r w:rsidRPr="00865FE5">
        <w:rPr>
          <w:i/>
          <w:iCs/>
        </w:rPr>
        <w:t xml:space="preserve">: </w:t>
      </w:r>
      <w:r w:rsidRPr="00865FE5">
        <w:t>to enable the establishment of an ISS spectrum allocation and associated regulatory provisions in the frequency bands 3 700 - 4 200 MHz (space-to-Earth) and 5 925-6 425 MHz (Earth-to-space), to support intersatellite links; in accordance with Resolution </w:t>
      </w:r>
      <w:r w:rsidRPr="00865FE5">
        <w:rPr>
          <w:b/>
          <w:bCs/>
        </w:rPr>
        <w:t>[CBAND_ISS] (WRC</w:t>
      </w:r>
      <w:r w:rsidRPr="00865FE5">
        <w:rPr>
          <w:b/>
          <w:bCs/>
        </w:rPr>
        <w:noBreakHyphen/>
        <w:t>23</w:t>
      </w:r>
      <w:proofErr w:type="gramStart"/>
      <w:r w:rsidRPr="00865FE5">
        <w:rPr>
          <w:b/>
          <w:bCs/>
        </w:rPr>
        <w:t>);</w:t>
      </w:r>
      <w:proofErr w:type="gramEnd"/>
    </w:p>
    <w:p w14:paraId="6584AE4A"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2E1F4C0A" w14:textId="77777777" w:rsidR="00833D80" w:rsidRPr="00865FE5" w:rsidRDefault="00833D80" w:rsidP="00833D80">
      <w:pPr>
        <w:rPr>
          <w:b/>
          <w:bCs/>
          <w:i/>
          <w:iCs/>
        </w:rPr>
      </w:pPr>
      <w:r w:rsidRPr="00865FE5">
        <w:rPr>
          <w:b/>
          <w:bCs/>
          <w:i/>
          <w:iCs/>
        </w:rPr>
        <w:t>Background/reason:</w:t>
      </w:r>
    </w:p>
    <w:p w14:paraId="01B4D87B" w14:textId="77777777" w:rsidR="00833D80" w:rsidRPr="00865FE5" w:rsidRDefault="00833D80" w:rsidP="00833D80">
      <w:r w:rsidRPr="00865FE5">
        <w:rPr>
          <w:iCs/>
        </w:rPr>
        <w:t xml:space="preserve">Satellite data relay services continue to be a growing market for satellite operators and C-band can offer near real time, urgent request tasking as part of the larger system of satellite data relays in higher frequency bands. To provide a means for recognizing in the Radio Regulations transmissions for an ISS allocation to support intersatellite links </w:t>
      </w:r>
      <w:r w:rsidRPr="00865FE5">
        <w:t xml:space="preserve">in the frequency bands 3 700 - 4 200 MHz (space-to-Earth) and 5 925-6 425 MHz (Earth-to-space) </w:t>
      </w:r>
      <w:r w:rsidRPr="00865FE5">
        <w:rPr>
          <w:iCs/>
        </w:rPr>
        <w:t>in accordance with R</w:t>
      </w:r>
      <w:r w:rsidRPr="00865FE5">
        <w:t>esolution </w:t>
      </w:r>
      <w:r w:rsidRPr="00865FE5">
        <w:rPr>
          <w:b/>
          <w:bCs/>
        </w:rPr>
        <w:t>[CBAND_ISS]</w:t>
      </w:r>
      <w:r w:rsidRPr="00865FE5">
        <w:rPr>
          <w:b/>
        </w:rPr>
        <w:t xml:space="preserve"> (WRC</w:t>
      </w:r>
      <w:r w:rsidRPr="00865FE5">
        <w:rPr>
          <w:b/>
        </w:rPr>
        <w:noBreakHyphen/>
        <w:t>23</w:t>
      </w:r>
      <w:proofErr w:type="gramStart"/>
      <w:r w:rsidRPr="00865FE5">
        <w:rPr>
          <w:b/>
        </w:rPr>
        <w:t>)</w:t>
      </w:r>
      <w:r w:rsidRPr="00865FE5">
        <w:t>;</w:t>
      </w:r>
      <w:proofErr w:type="gramEnd"/>
    </w:p>
    <w:p w14:paraId="11E186AE"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13F88A32" w14:textId="77777777" w:rsidR="00833D80" w:rsidRPr="00865FE5" w:rsidRDefault="00833D80" w:rsidP="00833D80">
      <w:pPr>
        <w:rPr>
          <w:b/>
          <w:bCs/>
          <w:i/>
          <w:iCs/>
        </w:rPr>
      </w:pPr>
      <w:r w:rsidRPr="00865FE5">
        <w:rPr>
          <w:b/>
          <w:bCs/>
          <w:i/>
          <w:iCs/>
        </w:rPr>
        <w:t xml:space="preserve">Radiocommunication services concerned: </w:t>
      </w:r>
    </w:p>
    <w:p w14:paraId="40DA677F" w14:textId="77777777" w:rsidR="00833D80" w:rsidRPr="00865FE5" w:rsidRDefault="00833D80" w:rsidP="00833D80">
      <w:r w:rsidRPr="00865FE5">
        <w:t>Inter satellite service, Fixed-satellite service, Fixed Service, Mobile Service</w:t>
      </w:r>
    </w:p>
    <w:p w14:paraId="15C149FB"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333FE9AB" w14:textId="77777777" w:rsidR="00833D80" w:rsidRPr="00865FE5" w:rsidRDefault="00833D80" w:rsidP="00833D80">
      <w:r w:rsidRPr="00865FE5">
        <w:rPr>
          <w:b/>
          <w:bCs/>
          <w:i/>
          <w:iCs/>
        </w:rPr>
        <w:t xml:space="preserve">Indication of possible difficulties: </w:t>
      </w:r>
      <w:r w:rsidRPr="00865FE5">
        <w:t xml:space="preserve"> None foreseen</w:t>
      </w:r>
    </w:p>
    <w:p w14:paraId="35F4038A"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6D38845F" w14:textId="77777777" w:rsidR="00833D80" w:rsidRPr="00865FE5" w:rsidRDefault="00833D80" w:rsidP="00833D80">
      <w:r w:rsidRPr="00865FE5">
        <w:rPr>
          <w:b/>
          <w:bCs/>
          <w:i/>
          <w:iCs/>
        </w:rPr>
        <w:t xml:space="preserve">Previous/ongoing studies on the issue: </w:t>
      </w:r>
      <w:r w:rsidRPr="00865FE5">
        <w:t>Certain studies have been initiated in Working Party 4A during the 2019-2023 ITU-R Study Cycle relevant to space-to-space satellite links in parts of the Ku and Ka frequency bands.</w:t>
      </w:r>
    </w:p>
    <w:p w14:paraId="2C3B160B"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833D80" w:rsidRPr="00865FE5" w14:paraId="0FE07B8F" w14:textId="77777777" w:rsidTr="005A36C9">
        <w:tc>
          <w:tcPr>
            <w:tcW w:w="3979" w:type="dxa"/>
            <w:tcBorders>
              <w:top w:val="nil"/>
              <w:left w:val="nil"/>
              <w:bottom w:val="single" w:sz="12" w:space="0" w:color="auto"/>
              <w:right w:val="single" w:sz="12" w:space="0" w:color="auto"/>
            </w:tcBorders>
            <w:hideMark/>
          </w:tcPr>
          <w:p w14:paraId="71C95C44" w14:textId="77777777" w:rsidR="00833D80" w:rsidRPr="00865FE5" w:rsidRDefault="00833D80" w:rsidP="005A36C9">
            <w:pPr>
              <w:framePr w:hSpace="181" w:wrap="notBeside" w:vAnchor="text" w:hAnchor="text" w:xAlign="center" w:y="1"/>
              <w:tabs>
                <w:tab w:val="left" w:pos="4366"/>
              </w:tabs>
              <w:rPr>
                <w:bCs/>
                <w:iCs/>
                <w:color w:val="000000"/>
              </w:rPr>
            </w:pPr>
            <w:r w:rsidRPr="00865FE5">
              <w:rPr>
                <w:b/>
                <w:i/>
                <w:color w:val="000000"/>
              </w:rPr>
              <w:t>Studies to be carried out by</w:t>
            </w:r>
            <w:r w:rsidRPr="00865FE5">
              <w:rPr>
                <w:b/>
                <w:bCs/>
                <w:i/>
                <w:iCs/>
                <w:color w:val="000000"/>
              </w:rPr>
              <w:t xml:space="preserve">: </w:t>
            </w:r>
            <w:r w:rsidRPr="00865FE5">
              <w:rPr>
                <w:bCs/>
                <w:iCs/>
                <w:color w:val="000000"/>
              </w:rPr>
              <w:t xml:space="preserve">ITU-R Study Group 4 – </w:t>
            </w:r>
            <w:r w:rsidRPr="00865FE5">
              <w:rPr>
                <w:rFonts w:eastAsiaTheme="minorHAnsi"/>
              </w:rPr>
              <w:t xml:space="preserve">WP </w:t>
            </w:r>
            <w:proofErr w:type="gramStart"/>
            <w:r w:rsidRPr="00865FE5">
              <w:rPr>
                <w:rFonts w:eastAsiaTheme="minorHAnsi"/>
              </w:rPr>
              <w:t>4A</w:t>
            </w:r>
            <w:proofErr w:type="gramEnd"/>
          </w:p>
          <w:p w14:paraId="54E5865A" w14:textId="77777777" w:rsidR="00833D80" w:rsidRPr="00865FE5" w:rsidRDefault="00833D80" w:rsidP="005A36C9">
            <w:pPr>
              <w:framePr w:hSpace="181" w:wrap="notBeside" w:vAnchor="text" w:hAnchor="text" w:xAlign="center" w:y="1"/>
              <w:tabs>
                <w:tab w:val="left" w:pos="4366"/>
              </w:tabs>
              <w:rPr>
                <w:b/>
                <w:bCs/>
                <w:i/>
                <w:iCs/>
                <w:color w:val="000000"/>
              </w:rPr>
            </w:pPr>
          </w:p>
        </w:tc>
        <w:tc>
          <w:tcPr>
            <w:tcW w:w="5357" w:type="dxa"/>
            <w:tcBorders>
              <w:top w:val="nil"/>
              <w:left w:val="single" w:sz="12" w:space="0" w:color="auto"/>
              <w:bottom w:val="single" w:sz="12" w:space="0" w:color="auto"/>
              <w:right w:val="nil"/>
            </w:tcBorders>
          </w:tcPr>
          <w:p w14:paraId="04600909" w14:textId="77777777" w:rsidR="00833D80" w:rsidRPr="00865FE5" w:rsidRDefault="00833D80" w:rsidP="005A36C9">
            <w:pPr>
              <w:framePr w:hSpace="181" w:wrap="notBeside" w:vAnchor="text" w:hAnchor="text" w:xAlign="center" w:y="1"/>
              <w:tabs>
                <w:tab w:val="left" w:pos="360"/>
                <w:tab w:val="left" w:pos="900"/>
                <w:tab w:val="left" w:pos="4366"/>
              </w:tabs>
              <w:ind w:left="113"/>
              <w:rPr>
                <w:bCs/>
                <w:i/>
                <w:color w:val="000000"/>
              </w:rPr>
            </w:pPr>
            <w:r w:rsidRPr="00865FE5">
              <w:rPr>
                <w:bCs/>
                <w:i/>
                <w:color w:val="000000"/>
              </w:rPr>
              <w:t xml:space="preserve">with the participation of: </w:t>
            </w:r>
          </w:p>
          <w:p w14:paraId="734745AE" w14:textId="77777777" w:rsidR="00833D80" w:rsidRPr="00865FE5" w:rsidRDefault="00833D80" w:rsidP="005A36C9">
            <w:pPr>
              <w:framePr w:hSpace="181" w:wrap="notBeside" w:vAnchor="text" w:hAnchor="text" w:xAlign="center" w:y="1"/>
              <w:tabs>
                <w:tab w:val="left" w:pos="360"/>
                <w:tab w:val="left" w:pos="900"/>
                <w:tab w:val="left" w:pos="4366"/>
              </w:tabs>
              <w:ind w:left="113"/>
              <w:rPr>
                <w:bCs/>
                <w:color w:val="000000"/>
              </w:rPr>
            </w:pPr>
            <w:r w:rsidRPr="00865FE5">
              <w:rPr>
                <w:bCs/>
                <w:color w:val="000000"/>
              </w:rPr>
              <w:t>ITU-R SG 5</w:t>
            </w:r>
          </w:p>
          <w:p w14:paraId="104912E2" w14:textId="77777777" w:rsidR="00833D80" w:rsidRPr="00865FE5" w:rsidRDefault="00833D80" w:rsidP="005A36C9">
            <w:pPr>
              <w:framePr w:hSpace="181" w:wrap="notBeside" w:vAnchor="text" w:hAnchor="text" w:xAlign="center" w:y="1"/>
              <w:tabs>
                <w:tab w:val="left" w:pos="360"/>
                <w:tab w:val="left" w:pos="900"/>
                <w:tab w:val="left" w:pos="4366"/>
              </w:tabs>
              <w:ind w:left="113"/>
              <w:rPr>
                <w:iCs/>
                <w:color w:val="000000"/>
              </w:rPr>
            </w:pPr>
            <w:r w:rsidRPr="00865FE5">
              <w:rPr>
                <w:bCs/>
                <w:color w:val="000000"/>
              </w:rPr>
              <w:t xml:space="preserve">WPs 5A, 5B, 5C, 5D   </w:t>
            </w:r>
            <w:r w:rsidRPr="00865FE5">
              <w:rPr>
                <w:i/>
                <w:iCs/>
                <w:color w:val="000000"/>
              </w:rPr>
              <w:t xml:space="preserve"> </w:t>
            </w:r>
          </w:p>
          <w:p w14:paraId="5E662684" w14:textId="77777777" w:rsidR="00833D80" w:rsidRPr="00865FE5" w:rsidRDefault="00833D80" w:rsidP="005A36C9">
            <w:pPr>
              <w:framePr w:hSpace="181" w:wrap="notBeside" w:vAnchor="text" w:hAnchor="text" w:xAlign="center" w:y="1"/>
              <w:tabs>
                <w:tab w:val="left" w:pos="360"/>
                <w:tab w:val="left" w:pos="900"/>
                <w:tab w:val="left" w:pos="4366"/>
              </w:tabs>
              <w:ind w:left="113"/>
              <w:rPr>
                <w:b/>
                <w:bCs/>
                <w:iCs/>
                <w:color w:val="000000"/>
              </w:rPr>
            </w:pPr>
          </w:p>
        </w:tc>
      </w:tr>
    </w:tbl>
    <w:p w14:paraId="31F0DC1D" w14:textId="77777777" w:rsidR="00833D80" w:rsidRPr="00865FE5" w:rsidRDefault="00833D80" w:rsidP="00833D80">
      <w:r w:rsidRPr="00865FE5">
        <w:rPr>
          <w:b/>
          <w:bCs/>
          <w:i/>
          <w:iCs/>
        </w:rPr>
        <w:t xml:space="preserve">ITU-R Study Groups concerned: </w:t>
      </w:r>
      <w:r w:rsidRPr="00865FE5">
        <w:t>SG 4, and SG 5</w:t>
      </w:r>
    </w:p>
    <w:p w14:paraId="00392319"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2B043267" w14:textId="77777777" w:rsidR="00833D80" w:rsidRPr="00865FE5" w:rsidRDefault="00833D80" w:rsidP="00833D80">
      <w:r w:rsidRPr="00865FE5">
        <w:rPr>
          <w:b/>
          <w:bCs/>
          <w:i/>
          <w:iCs/>
        </w:rPr>
        <w:t>ITU resource implications, including financial implications (refer to CV126):</w:t>
      </w:r>
      <w:r w:rsidRPr="00865FE5">
        <w:t xml:space="preserve">  Minimal</w:t>
      </w:r>
    </w:p>
    <w:p w14:paraId="5B0E555C"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4FED9EA3" w14:textId="77777777" w:rsidR="00833D80" w:rsidRPr="00865FE5" w:rsidRDefault="00833D80" w:rsidP="00833D80">
      <w:r w:rsidRPr="00865FE5">
        <w:rPr>
          <w:b/>
          <w:bCs/>
          <w:i/>
          <w:iCs/>
        </w:rPr>
        <w:t xml:space="preserve">Common regional proposal: </w:t>
      </w:r>
      <w:r w:rsidRPr="00865FE5">
        <w:t xml:space="preserve">Yes/No </w:t>
      </w:r>
      <w:r w:rsidRPr="00865FE5">
        <w:tab/>
      </w:r>
      <w:r w:rsidRPr="00865FE5">
        <w:tab/>
      </w:r>
      <w:proofErr w:type="spellStart"/>
      <w:r w:rsidRPr="00865FE5">
        <w:rPr>
          <w:b/>
          <w:bCs/>
          <w:i/>
          <w:iCs/>
        </w:rPr>
        <w:t>Multicountry</w:t>
      </w:r>
      <w:proofErr w:type="spellEnd"/>
      <w:r w:rsidRPr="00865FE5">
        <w:rPr>
          <w:b/>
          <w:bCs/>
          <w:i/>
          <w:iCs/>
        </w:rPr>
        <w:t xml:space="preserve"> proposal: </w:t>
      </w:r>
      <w:r w:rsidRPr="00865FE5">
        <w:t>Yes/No</w:t>
      </w:r>
    </w:p>
    <w:p w14:paraId="69EBA27D" w14:textId="77777777" w:rsidR="00833D80" w:rsidRPr="00865FE5" w:rsidRDefault="00833D80" w:rsidP="00833D80">
      <w:pPr>
        <w:pBdr>
          <w:bottom w:val="single" w:sz="12" w:space="1" w:color="auto"/>
        </w:pBdr>
        <w:tabs>
          <w:tab w:val="left" w:pos="794"/>
          <w:tab w:val="left" w:pos="1191"/>
          <w:tab w:val="left" w:pos="1588"/>
          <w:tab w:val="left" w:pos="1985"/>
        </w:tabs>
        <w:rPr>
          <w:color w:val="000000"/>
        </w:rPr>
      </w:pPr>
    </w:p>
    <w:p w14:paraId="0FC575FF" w14:textId="77777777" w:rsidR="00833D80" w:rsidRPr="00865FE5" w:rsidRDefault="00833D80" w:rsidP="00833D80">
      <w:pPr>
        <w:rPr>
          <w:b/>
          <w:bCs/>
          <w:i/>
          <w:iCs/>
        </w:rPr>
      </w:pPr>
      <w:r w:rsidRPr="00865FE5">
        <w:rPr>
          <w:b/>
          <w:bCs/>
          <w:i/>
          <w:iCs/>
        </w:rPr>
        <w:t>Remarks</w:t>
      </w:r>
    </w:p>
    <w:p w14:paraId="254C7049" w14:textId="77777777" w:rsidR="00833D80" w:rsidRPr="00865FE5" w:rsidRDefault="00833D80" w:rsidP="00833D80">
      <w:pPr>
        <w:widowControl w:val="0"/>
        <w:overflowPunct w:val="0"/>
        <w:autoSpaceDE w:val="0"/>
        <w:autoSpaceDN w:val="0"/>
        <w:adjustRightInd w:val="0"/>
        <w:ind w:right="440"/>
        <w:rPr>
          <w:b/>
          <w:bCs/>
        </w:rPr>
      </w:pPr>
    </w:p>
    <w:p w14:paraId="4EEB83EB" w14:textId="2C37F139" w:rsidR="00DF6653" w:rsidRPr="00865FE5" w:rsidRDefault="00DF6653" w:rsidP="00EE3CD2">
      <w:pPr>
        <w:rPr>
          <w:b/>
          <w:bCs/>
        </w:rPr>
      </w:pPr>
    </w:p>
    <w:sectPr w:rsidR="00DF6653" w:rsidRPr="00865FE5"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3E8" w14:textId="77777777" w:rsidR="00DB7607" w:rsidRDefault="00DB7607">
      <w:r>
        <w:separator/>
      </w:r>
    </w:p>
  </w:endnote>
  <w:endnote w:type="continuationSeparator" w:id="0">
    <w:p w14:paraId="7F1BC4DC" w14:textId="77777777" w:rsidR="00DB7607" w:rsidRDefault="00DB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098CB8D"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865FE5">
      <w:rPr>
        <w:noProof/>
        <w:snapToGrid w:val="0"/>
      </w:rPr>
      <w:t>CCPII-2023-42-5899_i</w:t>
    </w:r>
    <w:r>
      <w:rPr>
        <w:snapToGrid w:val="0"/>
      </w:rPr>
      <w:fldChar w:fldCharType="end"/>
    </w:r>
    <w:r w:rsidR="00C41FAE">
      <w:tab/>
    </w:r>
    <w:r w:rsidR="009F3654">
      <w:t xml:space="preserve">                       0</w:t>
    </w:r>
    <w:r w:rsidR="00865FE5">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w:t>
    </w:r>
    <w:r w:rsidRPr="00B71FAB">
      <w:rPr>
        <w:rFonts w:ascii="Arial" w:hAnsi="Arial"/>
        <w:sz w:val="16"/>
        <w:lang w:val="pt-BR"/>
      </w:rPr>
      <w:t xml:space="preserve">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EC3F" w14:textId="77777777" w:rsidR="00DB7607" w:rsidRDefault="00DB7607">
      <w:r>
        <w:separator/>
      </w:r>
    </w:p>
  </w:footnote>
  <w:footnote w:type="continuationSeparator" w:id="0">
    <w:p w14:paraId="0031C66A" w14:textId="77777777" w:rsidR="00DB7607" w:rsidRDefault="00DB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861457"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D2011"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491DC"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16D0"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3BFA"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D1A4"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41B9"/>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B2B99"/>
    <w:rsid w:val="001E2B56"/>
    <w:rsid w:val="00204E6D"/>
    <w:rsid w:val="00211705"/>
    <w:rsid w:val="00214619"/>
    <w:rsid w:val="002178DF"/>
    <w:rsid w:val="00222DB5"/>
    <w:rsid w:val="00233132"/>
    <w:rsid w:val="0024202E"/>
    <w:rsid w:val="0025504C"/>
    <w:rsid w:val="002909CF"/>
    <w:rsid w:val="002A6325"/>
    <w:rsid w:val="002B4C07"/>
    <w:rsid w:val="003001F7"/>
    <w:rsid w:val="003154A6"/>
    <w:rsid w:val="0031615C"/>
    <w:rsid w:val="00357A92"/>
    <w:rsid w:val="003701A5"/>
    <w:rsid w:val="00375A06"/>
    <w:rsid w:val="00394C7C"/>
    <w:rsid w:val="003B26CD"/>
    <w:rsid w:val="00426E20"/>
    <w:rsid w:val="0045478F"/>
    <w:rsid w:val="004566B8"/>
    <w:rsid w:val="004571A3"/>
    <w:rsid w:val="00471B76"/>
    <w:rsid w:val="00482D07"/>
    <w:rsid w:val="004A7659"/>
    <w:rsid w:val="004B39D5"/>
    <w:rsid w:val="004D474D"/>
    <w:rsid w:val="004D7CD7"/>
    <w:rsid w:val="004E2D44"/>
    <w:rsid w:val="004E74AB"/>
    <w:rsid w:val="004F7C58"/>
    <w:rsid w:val="0050343A"/>
    <w:rsid w:val="005156A2"/>
    <w:rsid w:val="005165B4"/>
    <w:rsid w:val="005175FB"/>
    <w:rsid w:val="005308BE"/>
    <w:rsid w:val="005315BE"/>
    <w:rsid w:val="00532018"/>
    <w:rsid w:val="00575145"/>
    <w:rsid w:val="005863A9"/>
    <w:rsid w:val="005962C2"/>
    <w:rsid w:val="005A57AD"/>
    <w:rsid w:val="005B391F"/>
    <w:rsid w:val="005B5405"/>
    <w:rsid w:val="005B6C85"/>
    <w:rsid w:val="005C0186"/>
    <w:rsid w:val="005C4FF3"/>
    <w:rsid w:val="005C60FF"/>
    <w:rsid w:val="005E2C5E"/>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4620B"/>
    <w:rsid w:val="00762C5B"/>
    <w:rsid w:val="007907D1"/>
    <w:rsid w:val="007A0652"/>
    <w:rsid w:val="007C4674"/>
    <w:rsid w:val="007C70B1"/>
    <w:rsid w:val="007D7469"/>
    <w:rsid w:val="007E4146"/>
    <w:rsid w:val="00804806"/>
    <w:rsid w:val="00823D27"/>
    <w:rsid w:val="00825084"/>
    <w:rsid w:val="0082548B"/>
    <w:rsid w:val="008264D0"/>
    <w:rsid w:val="008325E6"/>
    <w:rsid w:val="00833D80"/>
    <w:rsid w:val="00835CCA"/>
    <w:rsid w:val="00840D79"/>
    <w:rsid w:val="0084584A"/>
    <w:rsid w:val="00855704"/>
    <w:rsid w:val="00857D7C"/>
    <w:rsid w:val="00861457"/>
    <w:rsid w:val="00865FE5"/>
    <w:rsid w:val="008819AD"/>
    <w:rsid w:val="00897200"/>
    <w:rsid w:val="008A086E"/>
    <w:rsid w:val="008A61D6"/>
    <w:rsid w:val="008B66E9"/>
    <w:rsid w:val="008C70E1"/>
    <w:rsid w:val="008F141E"/>
    <w:rsid w:val="008F2196"/>
    <w:rsid w:val="0096041A"/>
    <w:rsid w:val="009762A5"/>
    <w:rsid w:val="0097711D"/>
    <w:rsid w:val="009801AE"/>
    <w:rsid w:val="00982377"/>
    <w:rsid w:val="00986B91"/>
    <w:rsid w:val="009B3A10"/>
    <w:rsid w:val="009B3A2A"/>
    <w:rsid w:val="009B7B6A"/>
    <w:rsid w:val="009E427F"/>
    <w:rsid w:val="009F3654"/>
    <w:rsid w:val="00A0122F"/>
    <w:rsid w:val="00A339A9"/>
    <w:rsid w:val="00A4159C"/>
    <w:rsid w:val="00A51807"/>
    <w:rsid w:val="00A6371A"/>
    <w:rsid w:val="00A92F2B"/>
    <w:rsid w:val="00AA2672"/>
    <w:rsid w:val="00AB17C2"/>
    <w:rsid w:val="00B3194A"/>
    <w:rsid w:val="00B335FC"/>
    <w:rsid w:val="00B42446"/>
    <w:rsid w:val="00B47FB3"/>
    <w:rsid w:val="00B52A9B"/>
    <w:rsid w:val="00B63DC3"/>
    <w:rsid w:val="00B64C14"/>
    <w:rsid w:val="00B71FAB"/>
    <w:rsid w:val="00B83494"/>
    <w:rsid w:val="00B91A68"/>
    <w:rsid w:val="00BC317B"/>
    <w:rsid w:val="00BF172C"/>
    <w:rsid w:val="00BF5112"/>
    <w:rsid w:val="00C05C35"/>
    <w:rsid w:val="00C14398"/>
    <w:rsid w:val="00C31B62"/>
    <w:rsid w:val="00C407E9"/>
    <w:rsid w:val="00C41FAE"/>
    <w:rsid w:val="00C439D7"/>
    <w:rsid w:val="00C47412"/>
    <w:rsid w:val="00C52356"/>
    <w:rsid w:val="00C57390"/>
    <w:rsid w:val="00C9294D"/>
    <w:rsid w:val="00CD1C09"/>
    <w:rsid w:val="00CF50F0"/>
    <w:rsid w:val="00CF7528"/>
    <w:rsid w:val="00D10A19"/>
    <w:rsid w:val="00D26C36"/>
    <w:rsid w:val="00D80FAB"/>
    <w:rsid w:val="00D87E29"/>
    <w:rsid w:val="00D96B94"/>
    <w:rsid w:val="00DB7607"/>
    <w:rsid w:val="00DC4830"/>
    <w:rsid w:val="00DC5219"/>
    <w:rsid w:val="00DF3FB6"/>
    <w:rsid w:val="00DF6653"/>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57019"/>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rsid w:val="00833D8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character" w:customStyle="1" w:styleId="ResNoChar">
    <w:name w:val="Res_No Char"/>
    <w:link w:val="ResNo"/>
    <w:rsid w:val="00833D80"/>
    <w:rPr>
      <w:caps/>
      <w:sz w:val="28"/>
      <w:lang w:val="en-GB"/>
    </w:rPr>
  </w:style>
  <w:style w:type="paragraph" w:customStyle="1" w:styleId="Normalaftertitle">
    <w:name w:val="Normal after title"/>
    <w:basedOn w:val="Normal"/>
    <w:next w:val="Normal"/>
    <w:link w:val="NormalaftertitleChar"/>
    <w:qFormat/>
    <w:rsid w:val="00833D80"/>
    <w:pPr>
      <w:tabs>
        <w:tab w:val="left" w:pos="1134"/>
        <w:tab w:val="left" w:pos="1871"/>
        <w:tab w:val="left" w:pos="2268"/>
      </w:tabs>
      <w:overflowPunct w:val="0"/>
      <w:autoSpaceDE w:val="0"/>
      <w:autoSpaceDN w:val="0"/>
      <w:adjustRightInd w:val="0"/>
      <w:spacing w:before="280"/>
      <w:textAlignment w:val="baseline"/>
    </w:pPr>
    <w:rPr>
      <w:sz w:val="24"/>
      <w:lang w:val="en-GB"/>
    </w:rPr>
  </w:style>
  <w:style w:type="paragraph" w:customStyle="1" w:styleId="Proposal">
    <w:name w:val="Proposal"/>
    <w:basedOn w:val="Normal"/>
    <w:next w:val="Normal"/>
    <w:rsid w:val="00833D80"/>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stitle">
    <w:name w:val="Res_title"/>
    <w:basedOn w:val="Normal"/>
    <w:next w:val="Normal"/>
    <w:link w:val="RestitleChar"/>
    <w:rsid w:val="00833D80"/>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NormalaftertitleChar">
    <w:name w:val="Normal after title Char"/>
    <w:link w:val="Normalaftertitle"/>
    <w:qFormat/>
    <w:rsid w:val="00833D80"/>
    <w:rPr>
      <w:sz w:val="24"/>
      <w:lang w:val="en-GB"/>
    </w:rPr>
  </w:style>
  <w:style w:type="character" w:customStyle="1" w:styleId="RestitleChar">
    <w:name w:val="Res_title Char"/>
    <w:link w:val="Restitle"/>
    <w:rsid w:val="00833D80"/>
    <w:rPr>
      <w:rFonts w:ascii="Times New Roman Bold" w:hAnsi="Times New Roman Bold"/>
      <w:b/>
      <w:sz w:val="28"/>
      <w:lang w:val="en-GB"/>
    </w:rPr>
  </w:style>
  <w:style w:type="paragraph" w:customStyle="1" w:styleId="Call">
    <w:name w:val="Call"/>
    <w:basedOn w:val="Normal"/>
    <w:next w:val="Normal"/>
    <w:link w:val="CallChar"/>
    <w:qFormat/>
    <w:rsid w:val="00833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 w:val="24"/>
      <w:lang w:val="en-GB"/>
    </w:rPr>
  </w:style>
  <w:style w:type="character" w:customStyle="1" w:styleId="CallChar">
    <w:name w:val="Call Char"/>
    <w:basedOn w:val="DefaultParagraphFont"/>
    <w:link w:val="Call"/>
    <w:qFormat/>
    <w:locked/>
    <w:rsid w:val="00833D80"/>
    <w:rPr>
      <w:rFonts w:eastAsia="MS Mincho"/>
      <w:i/>
      <w:sz w:val="24"/>
      <w:lang w:val="en-GB"/>
    </w:rPr>
  </w:style>
  <w:style w:type="paragraph" w:customStyle="1" w:styleId="Reasons">
    <w:name w:val="Reasons"/>
    <w:basedOn w:val="Normal"/>
    <w:link w:val="ReasonsChar"/>
    <w:qFormat/>
    <w:rsid w:val="00833D80"/>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href">
    <w:name w:val="href"/>
    <w:rsid w:val="00833D80"/>
    <w:rPr>
      <w:color w:val="auto"/>
    </w:rPr>
  </w:style>
  <w:style w:type="character" w:customStyle="1" w:styleId="ReasonsChar">
    <w:name w:val="Reasons Char"/>
    <w:link w:val="Reasons"/>
    <w:rsid w:val="00833D8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79604E42-7C86-4896-B465-BF57508321BE}"/>
</file>

<file path=docProps/app.xml><?xml version="1.0" encoding="utf-8"?>
<Properties xmlns="http://schemas.openxmlformats.org/officeDocument/2006/extended-properties" xmlns:vt="http://schemas.openxmlformats.org/officeDocument/2006/docPropsVTypes">
  <Template>Normal</Template>
  <TotalTime>5</TotalTime>
  <Pages>7</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PROPOSALS FOR THE WORK OF THE CONFERENCE AGENDA ITEM 10 – C BAND ISS</vt:lpstr>
    </vt:vector>
  </TitlesOfParts>
  <Company/>
  <LinksUpToDate>false</LinksUpToDate>
  <CharactersWithSpaces>14726</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C BAND ISS</dc:title>
  <dc:subject>3.1 (SGT5)</dc:subject>
  <dc:creator>USA</dc:creator>
  <cp:keywords/>
  <dc:description>VB</dc:description>
  <cp:lastModifiedBy>Perdomo, Katherine</cp:lastModifiedBy>
  <cp:revision>13</cp:revision>
  <cp:lastPrinted>1999-10-11T18:56:00Z</cp:lastPrinted>
  <dcterms:created xsi:type="dcterms:W3CDTF">2023-08-08T01:27:00Z</dcterms:created>
  <dcterms:modified xsi:type="dcterms:W3CDTF">2023-08-08T01:32:00Z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