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5013"/>
        <w:gridCol w:w="2121"/>
        <w:gridCol w:w="1669"/>
      </w:tblGrid>
      <w:tr w:rsidR="00DF6653" w:rsidRPr="002B4C07" w14:paraId="5654DF36" w14:textId="77777777" w:rsidTr="00081042">
        <w:trPr>
          <w:trHeight w:val="1509"/>
        </w:trPr>
        <w:tc>
          <w:tcPr>
            <w:tcW w:w="6570" w:type="dxa"/>
            <w:gridSpan w:val="2"/>
          </w:tcPr>
          <w:p w14:paraId="30BBE376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 </w:t>
            </w:r>
            <w:r w:rsidRPr="00787930">
              <w:rPr>
                <w:b/>
                <w:sz w:val="22"/>
                <w:szCs w:val="22"/>
              </w:rPr>
              <w:t>MEETING OF PERMANENT</w:t>
            </w:r>
          </w:p>
          <w:p w14:paraId="3311F49F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52E23E91" w14:textId="77777777" w:rsidR="00081042" w:rsidRPr="00092B9A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4C873377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28 to September 01</w:t>
            </w:r>
            <w:r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79CE408E" w:rsidR="00DF6653" w:rsidRPr="002B4C07" w:rsidRDefault="00081042" w:rsidP="0008104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Ottawa</w:t>
            </w:r>
            <w:r w:rsidRPr="008C70E1">
              <w:rPr>
                <w:b/>
                <w:iCs/>
                <w:sz w:val="22"/>
                <w:szCs w:val="22"/>
              </w:rPr>
              <w:t xml:space="preserve">, </w:t>
            </w:r>
            <w:r>
              <w:rPr>
                <w:b/>
                <w:iCs/>
                <w:sz w:val="22"/>
                <w:szCs w:val="22"/>
              </w:rPr>
              <w:t>Canada</w:t>
            </w:r>
          </w:p>
        </w:tc>
        <w:tc>
          <w:tcPr>
            <w:tcW w:w="3790" w:type="dxa"/>
            <w:gridSpan w:val="2"/>
          </w:tcPr>
          <w:p w14:paraId="27EF8BCA" w14:textId="77777777" w:rsidR="007122E0" w:rsidRPr="008C70E1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</w:t>
            </w:r>
            <w:proofErr w:type="spellStart"/>
            <w:r w:rsidRPr="008C70E1">
              <w:rPr>
                <w:b/>
                <w:sz w:val="22"/>
                <w:szCs w:val="22"/>
              </w:rPr>
              <w:t>Ser.L</w:t>
            </w:r>
            <w:proofErr w:type="spellEnd"/>
            <w:r w:rsidRPr="008C70E1">
              <w:rPr>
                <w:b/>
                <w:sz w:val="22"/>
                <w:szCs w:val="22"/>
              </w:rPr>
              <w:t>/XVII.4.2.</w:t>
            </w:r>
            <w:r>
              <w:rPr>
                <w:b/>
                <w:sz w:val="22"/>
                <w:szCs w:val="22"/>
              </w:rPr>
              <w:t>42</w:t>
            </w:r>
          </w:p>
          <w:p w14:paraId="12740174" w14:textId="65F59EC5" w:rsidR="008C70E1" w:rsidRPr="002B4C07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/doc. </w:t>
            </w:r>
            <w:r w:rsidR="00617712">
              <w:rPr>
                <w:b/>
                <w:sz w:val="22"/>
                <w:szCs w:val="22"/>
              </w:rPr>
              <w:t>5902</w:t>
            </w:r>
            <w:r w:rsidR="00DF6653" w:rsidRPr="002B4C07">
              <w:rPr>
                <w:b/>
                <w:sz w:val="22"/>
                <w:szCs w:val="22"/>
              </w:rPr>
              <w:t>/</w:t>
            </w:r>
            <w:r w:rsidR="0031615C" w:rsidRPr="002B4C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="00C850BE">
              <w:rPr>
                <w:b/>
                <w:sz w:val="22"/>
                <w:szCs w:val="22"/>
              </w:rPr>
              <w:t xml:space="preserve"> rev. 1</w:t>
            </w:r>
          </w:p>
          <w:p w14:paraId="508E4034" w14:textId="3C4764DB" w:rsidR="008C70E1" w:rsidRPr="002B4C07" w:rsidRDefault="007122E0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617712">
              <w:rPr>
                <w:b/>
                <w:sz w:val="22"/>
                <w:szCs w:val="22"/>
              </w:rPr>
              <w:t>6</w:t>
            </w:r>
            <w:r w:rsidR="00823D27" w:rsidRPr="002B4C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August</w:t>
            </w:r>
            <w:r w:rsidR="008C70E1" w:rsidRPr="002B4C07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3</w:t>
            </w:r>
          </w:p>
          <w:p w14:paraId="35D56372" w14:textId="5029844F" w:rsidR="00DF6653" w:rsidRPr="002B4C07" w:rsidRDefault="00DF6653" w:rsidP="008C70E1">
            <w:pPr>
              <w:rPr>
                <w:b/>
                <w:sz w:val="22"/>
                <w:szCs w:val="22"/>
              </w:rPr>
            </w:pPr>
            <w:r w:rsidRPr="002B4C07">
              <w:rPr>
                <w:b/>
                <w:sz w:val="22"/>
                <w:szCs w:val="22"/>
              </w:rPr>
              <w:t xml:space="preserve">Original: </w:t>
            </w:r>
            <w:r w:rsidR="00617712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2B4C07" w14:paraId="35B70C3F" w14:textId="77777777" w:rsidTr="00081042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2B4C07" w:rsidRDefault="00DF6653">
            <w:pPr>
              <w:rPr>
                <w:b/>
                <w:sz w:val="22"/>
              </w:rPr>
            </w:pPr>
          </w:p>
          <w:p w14:paraId="6191E97B" w14:textId="77777777" w:rsidR="00DF6653" w:rsidRPr="002B4C07" w:rsidRDefault="00DF6653">
            <w:pPr>
              <w:rPr>
                <w:b/>
                <w:sz w:val="22"/>
              </w:rPr>
            </w:pPr>
          </w:p>
        </w:tc>
      </w:tr>
      <w:tr w:rsidR="00DF6653" w:rsidRPr="002B4C07" w14:paraId="35961063" w14:textId="77777777" w:rsidTr="00081042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01909043" w14:textId="4CD7B2A3" w:rsidR="00DF6653" w:rsidRPr="002B4C07" w:rsidRDefault="007241FD" w:rsidP="00CA1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b/>
                <w:caps/>
                <w:sz w:val="24"/>
              </w:rPr>
            </w:pPr>
            <w:r w:rsidRPr="00F65F51">
              <w:rPr>
                <w:b/>
                <w:bCs/>
                <w:sz w:val="24"/>
                <w:szCs w:val="24"/>
              </w:rPr>
              <w:t>PROPOSALS FOR THE WORK OF THE CONFERENCE</w:t>
            </w:r>
            <w:r w:rsidR="00CA164C">
              <w:rPr>
                <w:b/>
                <w:bCs/>
                <w:sz w:val="24"/>
                <w:szCs w:val="24"/>
              </w:rPr>
              <w:t xml:space="preserve"> </w:t>
            </w:r>
            <w:r w:rsidRPr="00F65F51">
              <w:rPr>
                <w:b/>
                <w:caps/>
                <w:sz w:val="24"/>
                <w:szCs w:val="24"/>
              </w:rPr>
              <w:t>AGENDA ITEM 10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7241FD">
              <w:rPr>
                <w:b/>
                <w:caps/>
                <w:sz w:val="24"/>
                <w:szCs w:val="24"/>
              </w:rPr>
              <w:t>– PAI 2.2 SUP RES. 176</w:t>
            </w:r>
          </w:p>
        </w:tc>
        <w:tc>
          <w:tcPr>
            <w:tcW w:w="1669" w:type="dxa"/>
          </w:tcPr>
          <w:p w14:paraId="21FB025B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3FC20FC" w14:textId="77777777" w:rsidTr="00081042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2C06807E" w:rsidR="00DF6653" w:rsidRPr="002B4C07" w:rsidRDefault="00DF6653" w:rsidP="00620569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(Item on the Agenda: </w:t>
            </w:r>
            <w:r w:rsidR="007241FD" w:rsidRPr="00992152">
              <w:rPr>
                <w:b/>
                <w:sz w:val="24"/>
                <w:szCs w:val="24"/>
              </w:rPr>
              <w:t>3.1 (SGT-5)</w:t>
            </w:r>
            <w:r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9A1C69B" w14:textId="77777777" w:rsidTr="00081042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22D2A097" w:rsidR="00DF6653" w:rsidRPr="002B4C07" w:rsidRDefault="00DF6653" w:rsidP="005962C2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(Document submitted by </w:t>
            </w:r>
            <w:r w:rsidR="00992152" w:rsidRPr="00992152">
              <w:rPr>
                <w:b/>
                <w:sz w:val="24"/>
                <w:szCs w:val="24"/>
              </w:rPr>
              <w:t xml:space="preserve">the delegation </w:t>
            </w:r>
            <w:r w:rsidR="00992152" w:rsidRPr="00F65F51">
              <w:rPr>
                <w:b/>
                <w:sz w:val="24"/>
                <w:szCs w:val="24"/>
              </w:rPr>
              <w:t>of the United States of America</w:t>
            </w:r>
            <w:r w:rsidR="005962C2"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Pr="002B4C07" w:rsidRDefault="00DF6653">
      <w:pPr>
        <w:jc w:val="both"/>
        <w:rPr>
          <w:sz w:val="24"/>
        </w:rPr>
      </w:pPr>
    </w:p>
    <w:p w14:paraId="6EF01417" w14:textId="77777777" w:rsidR="00DF6653" w:rsidRPr="002B4C07" w:rsidRDefault="00DF6653">
      <w:pPr>
        <w:rPr>
          <w:b/>
          <w:sz w:val="24"/>
        </w:rPr>
        <w:sectPr w:rsidR="00DF6653" w:rsidRPr="002B4C07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Pr="002B4C07" w:rsidRDefault="00DF6653">
      <w:pPr>
        <w:rPr>
          <w:b/>
          <w:sz w:val="24"/>
        </w:rPr>
      </w:pPr>
    </w:p>
    <w:p w14:paraId="7367B51A" w14:textId="77777777" w:rsidR="002B4C07" w:rsidRPr="002B4C07" w:rsidRDefault="002B4C07" w:rsidP="002B4C07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2"/>
      </w:tblGrid>
      <w:tr w:rsidR="002B4C07" w:rsidRPr="002B4C07" w14:paraId="36F5AC08" w14:textId="77777777" w:rsidTr="002B4C07">
        <w:tc>
          <w:tcPr>
            <w:tcW w:w="9352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</w:tcPr>
          <w:p w14:paraId="59E3400C" w14:textId="77777777" w:rsidR="002B4C07" w:rsidRPr="002B4C07" w:rsidRDefault="002B4C07" w:rsidP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</w:rPr>
            </w:pPr>
            <w:r w:rsidRPr="002B4C07">
              <w:rPr>
                <w:b/>
                <w:sz w:val="22"/>
              </w:rPr>
              <w:t>Impact on the sector:</w:t>
            </w:r>
          </w:p>
          <w:p w14:paraId="2A7A7560" w14:textId="77777777" w:rsidR="002B4C07" w:rsidRPr="002B4C07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</w:rPr>
            </w:pPr>
          </w:p>
        </w:tc>
      </w:tr>
      <w:tr w:rsidR="002B4C07" w:rsidRPr="002B4C07" w14:paraId="5F75FE5C" w14:textId="77777777" w:rsidTr="002B4C07">
        <w:tc>
          <w:tcPr>
            <w:tcW w:w="9352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09D585AD" w14:textId="515A7C91" w:rsidR="002B4C07" w:rsidRPr="002B4C07" w:rsidRDefault="007C144A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 w:rsidRPr="00C0657C">
              <w:rPr>
                <w:iCs/>
                <w:sz w:val="22"/>
                <w:szCs w:val="22"/>
              </w:rPr>
              <w:t>This document supports the work of CITEL’s PCC.II Working Group for WRC under 3.1 of the agenda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14:paraId="4CABF852" w14:textId="77777777" w:rsidR="002B4C07" w:rsidRPr="002B4C07" w:rsidRDefault="002B4C07" w:rsidP="002B4C07">
      <w:pPr>
        <w:rPr>
          <w:sz w:val="22"/>
        </w:rPr>
      </w:pPr>
    </w:p>
    <w:p w14:paraId="7C624704" w14:textId="77777777" w:rsidR="002B4C07" w:rsidRPr="002B4C07" w:rsidRDefault="002B4C07" w:rsidP="002B4C07"/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2B4C07" w:rsidRPr="002B4C07" w14:paraId="20E91AD1" w14:textId="77777777" w:rsidTr="000C6C3F">
        <w:trPr>
          <w:trHeight w:val="311"/>
        </w:trPr>
        <w:tc>
          <w:tcPr>
            <w:tcW w:w="9396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614B4D80" w14:textId="3BD98724" w:rsidR="002B4C07" w:rsidRPr="007D7469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  <w:szCs w:val="22"/>
              </w:rPr>
            </w:pPr>
            <w:r w:rsidRPr="007D7469">
              <w:rPr>
                <w:b/>
                <w:sz w:val="22"/>
                <w:szCs w:val="22"/>
              </w:rPr>
              <w:t>Executive Summary:</w:t>
            </w:r>
          </w:p>
        </w:tc>
      </w:tr>
      <w:tr w:rsidR="002B4C07" w:rsidRPr="002B4C07" w14:paraId="5B317802" w14:textId="77777777" w:rsidTr="000C6C3F">
        <w:trPr>
          <w:trHeight w:val="549"/>
        </w:trPr>
        <w:tc>
          <w:tcPr>
            <w:tcW w:w="9396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29B68C4F" w14:textId="6CCF0938" w:rsidR="002B4C07" w:rsidRPr="002B4C07" w:rsidRDefault="006A2E75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>
              <w:rPr>
                <w:iCs/>
                <w:sz w:val="22"/>
                <w:szCs w:val="22"/>
              </w:rPr>
              <w:t>Under agenda item 10, t</w:t>
            </w:r>
            <w:r w:rsidRPr="001B4D36"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 xml:space="preserve">e United States proposes to suppress agenda item 2.2 from the preliminary WRC-27 agenda and the consequential suppression of Resolution </w:t>
            </w:r>
            <w:r>
              <w:rPr>
                <w:b/>
                <w:bCs/>
                <w:iCs/>
                <w:sz w:val="22"/>
                <w:szCs w:val="22"/>
              </w:rPr>
              <w:t>176</w:t>
            </w:r>
            <w:r w:rsidRPr="00B11A6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</w:t>
            </w:r>
            <w:r w:rsidRPr="00B11A67">
              <w:rPr>
                <w:b/>
                <w:bCs/>
                <w:iCs/>
                <w:sz w:val="22"/>
                <w:szCs w:val="22"/>
              </w:rPr>
              <w:t>WRC-19</w:t>
            </w:r>
            <w:r>
              <w:rPr>
                <w:iCs/>
                <w:sz w:val="22"/>
                <w:szCs w:val="22"/>
              </w:rPr>
              <w:t>) as it is no longer necessary.</w:t>
            </w:r>
          </w:p>
        </w:tc>
      </w:tr>
    </w:tbl>
    <w:p w14:paraId="13D5BF3E" w14:textId="77777777" w:rsidR="002B4C07" w:rsidRPr="002B4C07" w:rsidRDefault="002B4C07" w:rsidP="002B4C07">
      <w:pPr>
        <w:tabs>
          <w:tab w:val="left" w:pos="1500"/>
        </w:tabs>
        <w:rPr>
          <w:sz w:val="22"/>
        </w:rPr>
      </w:pPr>
    </w:p>
    <w:p w14:paraId="2417F70C" w14:textId="08BADFB7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8C1868A" w14:textId="7CAC37C3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41FA9369" w14:textId="4E863C7F" w:rsidR="004566B8" w:rsidRPr="002B4C07" w:rsidRDefault="004566B8" w:rsidP="00EE3CD2">
      <w:pPr>
        <w:rPr>
          <w:sz w:val="24"/>
        </w:rPr>
      </w:pPr>
      <w:r w:rsidRPr="002B4C07">
        <w:rPr>
          <w:sz w:val="24"/>
        </w:rPr>
        <w:br w:type="page"/>
      </w:r>
    </w:p>
    <w:p w14:paraId="7467E06B" w14:textId="77777777" w:rsidR="00AC1B24" w:rsidRDefault="00AC1B24" w:rsidP="00AC1B24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5019554B" w14:textId="77777777" w:rsidR="00AC1B24" w:rsidRPr="00F65F51" w:rsidRDefault="00AC1B24" w:rsidP="00AC1B2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UNITED STATES OF AMERICA</w:t>
      </w:r>
    </w:p>
    <w:p w14:paraId="76E9F1CA" w14:textId="77777777" w:rsidR="00AC1B24" w:rsidRPr="00F65F51" w:rsidRDefault="00AC1B24" w:rsidP="00AC1B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7EDC088" w14:textId="77777777" w:rsidR="00AC1B24" w:rsidRPr="00F65F51" w:rsidRDefault="00AC1B24" w:rsidP="00AC1B2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PROPOSALS FOR THE WORK OF THE CONFERENCE</w:t>
      </w:r>
    </w:p>
    <w:p w14:paraId="46FFD57B" w14:textId="77777777" w:rsidR="00AC1B24" w:rsidRPr="00F65F51" w:rsidRDefault="00AC1B24" w:rsidP="00AC1B24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5FADB2BD" w14:textId="77777777" w:rsidR="00AC1B24" w:rsidRPr="00F65F51" w:rsidRDefault="00AC1B24" w:rsidP="00AC1B24">
      <w:pPr>
        <w:widowControl w:val="0"/>
        <w:jc w:val="center"/>
        <w:rPr>
          <w:b/>
          <w:sz w:val="22"/>
          <w:szCs w:val="22"/>
        </w:rPr>
      </w:pPr>
      <w:r w:rsidRPr="00F65F51">
        <w:rPr>
          <w:b/>
          <w:sz w:val="22"/>
          <w:szCs w:val="22"/>
        </w:rPr>
        <w:t>Agenda Item 10</w:t>
      </w:r>
    </w:p>
    <w:p w14:paraId="25AEDB72" w14:textId="77777777" w:rsidR="00AC1B24" w:rsidRPr="00F65F51" w:rsidRDefault="00AC1B24" w:rsidP="00AC1B24">
      <w:pPr>
        <w:jc w:val="center"/>
        <w:rPr>
          <w:b/>
          <w:bCs/>
          <w:sz w:val="22"/>
          <w:szCs w:val="22"/>
          <w:u w:val="single"/>
        </w:rPr>
      </w:pPr>
    </w:p>
    <w:p w14:paraId="402575A3" w14:textId="77777777" w:rsidR="00AC1B24" w:rsidRPr="00F65F51" w:rsidRDefault="00AC1B24" w:rsidP="00AC1B24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Discontinuation of agenda item 2.</w:t>
      </w:r>
      <w:r>
        <w:rPr>
          <w:b/>
          <w:bCs/>
          <w:sz w:val="22"/>
          <w:szCs w:val="22"/>
        </w:rPr>
        <w:t>2</w:t>
      </w:r>
      <w:r w:rsidRPr="00F65F51">
        <w:rPr>
          <w:b/>
          <w:bCs/>
          <w:sz w:val="22"/>
          <w:szCs w:val="22"/>
        </w:rPr>
        <w:t xml:space="preserve"> on the preliminary WRC-27 and the suppression of corresponding Resolution </w:t>
      </w:r>
      <w:r>
        <w:rPr>
          <w:b/>
          <w:bCs/>
          <w:sz w:val="22"/>
          <w:szCs w:val="22"/>
        </w:rPr>
        <w:t>176</w:t>
      </w:r>
      <w:r w:rsidRPr="00F65F51">
        <w:rPr>
          <w:b/>
          <w:bCs/>
          <w:sz w:val="22"/>
          <w:szCs w:val="22"/>
        </w:rPr>
        <w:t xml:space="preserve"> (WRC</w:t>
      </w:r>
      <w:r w:rsidRPr="00F65F51">
        <w:rPr>
          <w:b/>
          <w:bCs/>
          <w:sz w:val="22"/>
          <w:szCs w:val="22"/>
        </w:rPr>
        <w:noBreakHyphen/>
        <w:t>19)</w:t>
      </w:r>
    </w:p>
    <w:p w14:paraId="781EC428" w14:textId="77777777" w:rsidR="00AC1B24" w:rsidRPr="00F65F51" w:rsidRDefault="00AC1B24" w:rsidP="00AC1B24">
      <w:pPr>
        <w:spacing w:after="120"/>
        <w:rPr>
          <w:b/>
          <w:bCs/>
          <w:color w:val="000000"/>
          <w:sz w:val="22"/>
          <w:szCs w:val="22"/>
        </w:rPr>
      </w:pPr>
    </w:p>
    <w:p w14:paraId="4F58197B" w14:textId="77777777" w:rsidR="00AC1B24" w:rsidRPr="00F65F51" w:rsidRDefault="00AC1B24" w:rsidP="00AC1B24">
      <w:pPr>
        <w:spacing w:after="120"/>
        <w:rPr>
          <w:b/>
          <w:bCs/>
          <w:color w:val="000000"/>
          <w:sz w:val="22"/>
          <w:szCs w:val="22"/>
        </w:rPr>
      </w:pPr>
      <w:r w:rsidRPr="00F65F51">
        <w:rPr>
          <w:b/>
          <w:bCs/>
          <w:color w:val="000000"/>
          <w:sz w:val="22"/>
          <w:szCs w:val="22"/>
        </w:rPr>
        <w:t xml:space="preserve">Background: </w:t>
      </w:r>
      <w:r w:rsidRPr="00F65F51">
        <w:rPr>
          <w:b/>
          <w:bCs/>
          <w:color w:val="000000"/>
          <w:sz w:val="22"/>
          <w:szCs w:val="22"/>
        </w:rPr>
        <w:tab/>
      </w:r>
    </w:p>
    <w:p w14:paraId="01D673B5" w14:textId="77777777" w:rsidR="00AC1B24" w:rsidRPr="00F65F51" w:rsidRDefault="00AC1B24" w:rsidP="00AC1B24">
      <w:pPr>
        <w:jc w:val="both"/>
        <w:rPr>
          <w:sz w:val="22"/>
          <w:szCs w:val="22"/>
        </w:rPr>
      </w:pPr>
      <w:r w:rsidRPr="00F65F51">
        <w:rPr>
          <w:sz w:val="22"/>
          <w:szCs w:val="22"/>
        </w:rPr>
        <w:t xml:space="preserve">Studies envisioned under </w:t>
      </w:r>
      <w:r>
        <w:rPr>
          <w:sz w:val="22"/>
          <w:szCs w:val="22"/>
        </w:rPr>
        <w:t xml:space="preserve">preliminary </w:t>
      </w:r>
      <w:r w:rsidRPr="00F65F51">
        <w:rPr>
          <w:sz w:val="22"/>
          <w:szCs w:val="22"/>
        </w:rPr>
        <w:t>WRC-2</w:t>
      </w:r>
      <w:r>
        <w:rPr>
          <w:sz w:val="22"/>
          <w:szCs w:val="22"/>
        </w:rPr>
        <w:t xml:space="preserve">7 </w:t>
      </w:r>
      <w:r w:rsidRPr="00F65F51">
        <w:rPr>
          <w:sz w:val="22"/>
          <w:szCs w:val="22"/>
        </w:rPr>
        <w:t xml:space="preserve">agenda item </w:t>
      </w:r>
      <w:r>
        <w:rPr>
          <w:sz w:val="22"/>
          <w:szCs w:val="22"/>
        </w:rPr>
        <w:t xml:space="preserve">2.2 </w:t>
      </w:r>
      <w:r w:rsidRPr="00F65F51">
        <w:rPr>
          <w:sz w:val="22"/>
          <w:szCs w:val="22"/>
        </w:rPr>
        <w:t xml:space="preserve">were intended to </w:t>
      </w:r>
      <w:r>
        <w:rPr>
          <w:sz w:val="22"/>
          <w:szCs w:val="22"/>
        </w:rPr>
        <w:t xml:space="preserve">perform studies </w:t>
      </w:r>
      <w:r w:rsidRPr="00941F23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41F23">
        <w:rPr>
          <w:sz w:val="22"/>
          <w:szCs w:val="22"/>
        </w:rPr>
        <w:t>determine the</w:t>
      </w:r>
      <w:r>
        <w:rPr>
          <w:sz w:val="22"/>
          <w:szCs w:val="22"/>
        </w:rPr>
        <w:t xml:space="preserve"> technical and operational characteristics of aeronautical and maritime ESIMS that plan to operate within GSO FSS allocations in the frequency bands: 37.5-39.5 GHz, 40.5-42.5 GHz, 47.2-50.2 </w:t>
      </w:r>
      <w:proofErr w:type="gramStart"/>
      <w:r>
        <w:rPr>
          <w:sz w:val="22"/>
          <w:szCs w:val="22"/>
        </w:rPr>
        <w:t>GHz</w:t>
      </w:r>
      <w:proofErr w:type="gramEnd"/>
      <w:r>
        <w:rPr>
          <w:sz w:val="22"/>
          <w:szCs w:val="22"/>
        </w:rPr>
        <w:t xml:space="preserve"> and 50.4-51.4 GHz.  </w:t>
      </w:r>
      <w:r w:rsidRPr="00F65F51">
        <w:rPr>
          <w:sz w:val="22"/>
          <w:szCs w:val="22"/>
        </w:rPr>
        <w:t>Noting th</w:t>
      </w:r>
      <w:r>
        <w:rPr>
          <w:sz w:val="22"/>
          <w:szCs w:val="22"/>
        </w:rPr>
        <w:t xml:space="preserve">e difficult sharing arrangements already in place in these bands and the need to prioritize the work of the ITU-R for WRC-27, the U.S. </w:t>
      </w:r>
      <w:r w:rsidRPr="00F65F51">
        <w:rPr>
          <w:sz w:val="22"/>
          <w:szCs w:val="22"/>
        </w:rPr>
        <w:t>propose</w:t>
      </w:r>
      <w:r>
        <w:rPr>
          <w:sz w:val="22"/>
          <w:szCs w:val="22"/>
        </w:rPr>
        <w:t>s</w:t>
      </w:r>
      <w:r w:rsidRPr="00F65F51">
        <w:rPr>
          <w:sz w:val="22"/>
          <w:szCs w:val="22"/>
        </w:rPr>
        <w:t xml:space="preserve"> to discontinue consideration of preliminary WRC-27 agenda item 2.</w:t>
      </w:r>
      <w:r>
        <w:rPr>
          <w:sz w:val="22"/>
          <w:szCs w:val="22"/>
        </w:rPr>
        <w:t>2</w:t>
      </w:r>
      <w:r w:rsidRPr="00F65F51">
        <w:rPr>
          <w:sz w:val="22"/>
          <w:szCs w:val="22"/>
        </w:rPr>
        <w:t xml:space="preserve"> as follows:</w:t>
      </w:r>
    </w:p>
    <w:p w14:paraId="1B218913" w14:textId="77777777" w:rsidR="00AC1B24" w:rsidRPr="00F65F51" w:rsidRDefault="00AC1B24" w:rsidP="00AC1B24">
      <w:pPr>
        <w:rPr>
          <w:b/>
          <w:bCs/>
          <w:sz w:val="22"/>
          <w:szCs w:val="22"/>
        </w:rPr>
      </w:pPr>
    </w:p>
    <w:p w14:paraId="709458B9" w14:textId="77777777" w:rsidR="00AC1B24" w:rsidRPr="00F65F51" w:rsidRDefault="00AC1B24" w:rsidP="00AC1B24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Proposals</w:t>
      </w:r>
      <w:r>
        <w:rPr>
          <w:b/>
          <w:bCs/>
          <w:sz w:val="22"/>
          <w:szCs w:val="22"/>
        </w:rPr>
        <w:t>:</w:t>
      </w:r>
    </w:p>
    <w:p w14:paraId="061C923E" w14:textId="77777777" w:rsidR="00AC1B24" w:rsidRPr="00F65F51" w:rsidRDefault="00AC1B24" w:rsidP="00AC1B24">
      <w:pPr>
        <w:pStyle w:val="Proposal"/>
        <w:rPr>
          <w:rFonts w:hAnsi="Times New Roman"/>
          <w:sz w:val="22"/>
          <w:szCs w:val="22"/>
        </w:rPr>
      </w:pPr>
      <w:r w:rsidRPr="00F65F51">
        <w:rPr>
          <w:rFonts w:hAnsi="Times New Roman"/>
          <w:sz w:val="22"/>
          <w:szCs w:val="22"/>
        </w:rPr>
        <w:t>SUP</w:t>
      </w:r>
      <w:r w:rsidRPr="00F65F51">
        <w:rPr>
          <w:rFonts w:hAnsi="Times New Roman"/>
          <w:sz w:val="22"/>
          <w:szCs w:val="22"/>
        </w:rPr>
        <w:tab/>
        <w:t xml:space="preserve">USA/10 (No </w:t>
      </w:r>
      <w:r>
        <w:rPr>
          <w:rFonts w:hAnsi="Times New Roman"/>
          <w:sz w:val="22"/>
          <w:szCs w:val="22"/>
        </w:rPr>
        <w:t>ESIMs 37-52 GHz</w:t>
      </w:r>
      <w:r w:rsidRPr="00F65F51">
        <w:rPr>
          <w:rFonts w:hAnsi="Times New Roman"/>
          <w:sz w:val="22"/>
          <w:szCs w:val="22"/>
        </w:rPr>
        <w:t>)/1</w:t>
      </w:r>
    </w:p>
    <w:p w14:paraId="112310B2" w14:textId="77777777" w:rsidR="00AC1B24" w:rsidRPr="00F65F51" w:rsidRDefault="00AC1B24" w:rsidP="00AC1B24">
      <w:pPr>
        <w:rPr>
          <w:sz w:val="22"/>
          <w:szCs w:val="22"/>
        </w:rPr>
      </w:pPr>
    </w:p>
    <w:p w14:paraId="09442AAC" w14:textId="23C1C6B7" w:rsidR="00AC1B24" w:rsidRPr="00F65F51" w:rsidRDefault="00AC1B24" w:rsidP="00AC1B24">
      <w:pPr>
        <w:pStyle w:val="ResNo"/>
        <w:rPr>
          <w:sz w:val="22"/>
          <w:szCs w:val="22"/>
        </w:rPr>
      </w:pPr>
      <w:bookmarkStart w:id="0" w:name="_Toc39649639"/>
      <w:r w:rsidRPr="00F65F51">
        <w:rPr>
          <w:sz w:val="22"/>
          <w:szCs w:val="22"/>
        </w:rPr>
        <w:t xml:space="preserve">RESOLUTION </w:t>
      </w:r>
      <w:r w:rsidR="00C850BE">
        <w:rPr>
          <w:rStyle w:val="href"/>
          <w:sz w:val="22"/>
          <w:szCs w:val="22"/>
        </w:rPr>
        <w:t>812</w:t>
      </w:r>
      <w:r w:rsidRPr="00F65F51">
        <w:rPr>
          <w:sz w:val="22"/>
          <w:szCs w:val="22"/>
        </w:rPr>
        <w:t xml:space="preserve"> (WRC-19)</w:t>
      </w:r>
      <w:bookmarkEnd w:id="0"/>
    </w:p>
    <w:p w14:paraId="1725D032" w14:textId="77777777" w:rsidR="00AC1B24" w:rsidRPr="00F65F51" w:rsidRDefault="00AC1B24" w:rsidP="00AC1B24">
      <w:pPr>
        <w:pStyle w:val="Restitle"/>
        <w:rPr>
          <w:rFonts w:ascii="Times New Roman" w:hAnsi="Times New Roman"/>
          <w:sz w:val="22"/>
          <w:szCs w:val="22"/>
        </w:rPr>
      </w:pPr>
      <w:bookmarkStart w:id="1" w:name="_Toc35789443"/>
      <w:bookmarkStart w:id="2" w:name="_Toc35857140"/>
      <w:bookmarkStart w:id="3" w:name="_Toc35877775"/>
      <w:bookmarkStart w:id="4" w:name="_Toc35963719"/>
      <w:bookmarkStart w:id="5" w:name="_Toc39649640"/>
      <w:r w:rsidRPr="00F65F51">
        <w:rPr>
          <w:rFonts w:ascii="Times New Roman" w:hAnsi="Times New Roman"/>
          <w:sz w:val="22"/>
          <w:szCs w:val="22"/>
        </w:rPr>
        <w:t>Preliminary agenda for the 2027 World Radiocommunication Conference</w:t>
      </w:r>
      <w:bookmarkEnd w:id="1"/>
      <w:bookmarkEnd w:id="2"/>
      <w:bookmarkEnd w:id="3"/>
      <w:bookmarkEnd w:id="4"/>
      <w:bookmarkEnd w:id="5"/>
    </w:p>
    <w:p w14:paraId="20B0BB20" w14:textId="77777777" w:rsidR="00AC1B24" w:rsidRPr="00F65F51" w:rsidRDefault="00AC1B24" w:rsidP="00AC1B24">
      <w:pPr>
        <w:pStyle w:val="Normalaftertitle"/>
        <w:rPr>
          <w:sz w:val="22"/>
          <w:szCs w:val="22"/>
        </w:rPr>
      </w:pPr>
    </w:p>
    <w:p w14:paraId="37076D81" w14:textId="77777777" w:rsidR="00AC1B24" w:rsidRPr="00F65F51" w:rsidRDefault="00AC1B24" w:rsidP="00AC1B24">
      <w:pPr>
        <w:pStyle w:val="Reasons"/>
        <w:jc w:val="both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This Resolution must be suppressed, as WRC-23 will create a new Resolution that will include the agenda for WRC-27, and the United States proposes that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F65F51">
        <w:rPr>
          <w:sz w:val="22"/>
          <w:szCs w:val="22"/>
        </w:rPr>
        <w:t xml:space="preserve"> from Resolution </w:t>
      </w:r>
      <w:r w:rsidRPr="00F65F51">
        <w:rPr>
          <w:b/>
          <w:bCs/>
          <w:sz w:val="22"/>
          <w:szCs w:val="22"/>
        </w:rPr>
        <w:t xml:space="preserve">812 (WRC-19) </w:t>
      </w:r>
      <w:r w:rsidRPr="00F65F51">
        <w:rPr>
          <w:sz w:val="22"/>
          <w:szCs w:val="22"/>
        </w:rPr>
        <w:t>not be on that agenda.</w:t>
      </w:r>
    </w:p>
    <w:p w14:paraId="3300AE27" w14:textId="77777777" w:rsidR="00AC1B24" w:rsidRPr="0027780E" w:rsidRDefault="00AC1B24" w:rsidP="00AC1B24">
      <w:pPr>
        <w:pStyle w:val="Proposal"/>
        <w:rPr>
          <w:rFonts w:hAnsi="Times New Roman"/>
          <w:sz w:val="22"/>
          <w:szCs w:val="22"/>
          <w:lang w:val="es-CO"/>
        </w:rPr>
      </w:pPr>
      <w:r w:rsidRPr="00F65F51">
        <w:rPr>
          <w:rFonts w:hAnsi="Times New Roman"/>
          <w:sz w:val="22"/>
          <w:szCs w:val="22"/>
          <w:lang w:val="es-CO"/>
        </w:rPr>
        <w:t>SUP</w:t>
      </w:r>
      <w:r w:rsidRPr="00F65F51">
        <w:rPr>
          <w:rFonts w:hAnsi="Times New Roman"/>
          <w:sz w:val="22"/>
          <w:szCs w:val="22"/>
          <w:lang w:val="es-CO"/>
        </w:rPr>
        <w:tab/>
        <w:t xml:space="preserve">USA/10 </w:t>
      </w:r>
      <w:r w:rsidRPr="00F16EDD">
        <w:rPr>
          <w:rFonts w:hAnsi="Times New Roman"/>
          <w:sz w:val="22"/>
          <w:szCs w:val="22"/>
          <w:lang w:val="es-CO"/>
        </w:rPr>
        <w:t xml:space="preserve">(No </w:t>
      </w:r>
      <w:proofErr w:type="spellStart"/>
      <w:r w:rsidRPr="00F16EDD">
        <w:rPr>
          <w:rFonts w:hAnsi="Times New Roman"/>
          <w:sz w:val="22"/>
          <w:szCs w:val="22"/>
          <w:lang w:val="es-CO"/>
        </w:rPr>
        <w:t>ESIMs</w:t>
      </w:r>
      <w:proofErr w:type="spellEnd"/>
      <w:r w:rsidRPr="00F16EDD">
        <w:rPr>
          <w:rFonts w:hAnsi="Times New Roman"/>
          <w:sz w:val="22"/>
          <w:szCs w:val="22"/>
          <w:lang w:val="es-CO"/>
        </w:rPr>
        <w:t xml:space="preserve"> 37-50 GHz)/2</w:t>
      </w:r>
    </w:p>
    <w:p w14:paraId="3C25E22A" w14:textId="77777777" w:rsidR="00AC1B24" w:rsidRPr="00F65F51" w:rsidRDefault="00AC1B24" w:rsidP="00AC1B24">
      <w:pPr>
        <w:rPr>
          <w:lang w:val="es-CO"/>
        </w:rPr>
      </w:pPr>
    </w:p>
    <w:p w14:paraId="1462307D" w14:textId="77777777" w:rsidR="00AC1B24" w:rsidRPr="00F65F51" w:rsidRDefault="00AC1B24" w:rsidP="00AC1B24">
      <w:pPr>
        <w:rPr>
          <w:sz w:val="22"/>
          <w:szCs w:val="22"/>
          <w:lang w:val="es-CO"/>
        </w:rPr>
      </w:pPr>
    </w:p>
    <w:p w14:paraId="15EAECFA" w14:textId="77777777" w:rsidR="00AC1B24" w:rsidRPr="00F65F51" w:rsidRDefault="00AC1B24" w:rsidP="00AC1B24">
      <w:pPr>
        <w:jc w:val="center"/>
        <w:rPr>
          <w:rFonts w:eastAsiaTheme="minorHAnsi"/>
          <w:sz w:val="22"/>
          <w:szCs w:val="22"/>
        </w:rPr>
      </w:pPr>
      <w:r w:rsidRPr="00F65F51">
        <w:rPr>
          <w:rFonts w:eastAsiaTheme="minorHAnsi"/>
          <w:sz w:val="22"/>
          <w:szCs w:val="22"/>
        </w:rPr>
        <w:t xml:space="preserve">RESOLUTION </w:t>
      </w:r>
      <w:r>
        <w:rPr>
          <w:rFonts w:eastAsiaTheme="minorHAnsi"/>
          <w:sz w:val="22"/>
          <w:szCs w:val="22"/>
        </w:rPr>
        <w:t>176</w:t>
      </w:r>
      <w:r w:rsidRPr="00F65F51">
        <w:rPr>
          <w:rFonts w:eastAsiaTheme="minorHAnsi"/>
          <w:sz w:val="22"/>
          <w:szCs w:val="22"/>
        </w:rPr>
        <w:t xml:space="preserve"> (WRC-19)</w:t>
      </w:r>
    </w:p>
    <w:p w14:paraId="7091E3D2" w14:textId="77777777" w:rsidR="00AC1B24" w:rsidRDefault="00AC1B24" w:rsidP="00AC1B24">
      <w:pPr>
        <w:pStyle w:val="Reason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Use of the frequency bands 37.5-39.5 GHz (space-to-Earth), 40.5-42.5 GHz (space-to-Earth), 47.2-50.2 GHz (Earth-to-space) and 50.4-51.4 GHz (Earth-to-space) by aeronautical and maritime earth stations in motion communication with geostationary space stations in the fixed-satellite service</w:t>
      </w:r>
    </w:p>
    <w:p w14:paraId="27DDE78D" w14:textId="77777777" w:rsidR="00AC1B24" w:rsidRPr="00F65F51" w:rsidRDefault="00AC1B24" w:rsidP="00AC1B24">
      <w:pPr>
        <w:pStyle w:val="Reasons"/>
        <w:jc w:val="center"/>
        <w:rPr>
          <w:b/>
          <w:sz w:val="22"/>
          <w:szCs w:val="22"/>
        </w:rPr>
      </w:pPr>
    </w:p>
    <w:p w14:paraId="0708D43C" w14:textId="77777777" w:rsidR="00AC1B24" w:rsidRPr="00F65F51" w:rsidRDefault="00AC1B24" w:rsidP="00AC1B24">
      <w:pPr>
        <w:pStyle w:val="Reasons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Consequential to non-inclusion of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F65F51">
        <w:rPr>
          <w:sz w:val="22"/>
          <w:szCs w:val="22"/>
        </w:rPr>
        <w:t xml:space="preserve"> from the preliminary WRC-27 agenda on the WRC-27 agenda adopted by WRC-23.</w:t>
      </w:r>
    </w:p>
    <w:p w14:paraId="4EEB83EB" w14:textId="2C37F139" w:rsidR="00DF6653" w:rsidRPr="00AC1B24" w:rsidRDefault="00DF6653" w:rsidP="00EE3CD2">
      <w:pPr>
        <w:rPr>
          <w:b/>
          <w:bCs/>
          <w:sz w:val="24"/>
          <w:lang w:val="en-GB"/>
        </w:rPr>
      </w:pPr>
    </w:p>
    <w:sectPr w:rsidR="00DF6653" w:rsidRPr="00AC1B24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FFD3" w14:textId="77777777" w:rsidR="005B746C" w:rsidRDefault="005B746C">
      <w:r>
        <w:separator/>
      </w:r>
    </w:p>
  </w:endnote>
  <w:endnote w:type="continuationSeparator" w:id="0">
    <w:p w14:paraId="2C1BFCA5" w14:textId="77777777" w:rsidR="005B746C" w:rsidRDefault="005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ZapfHumnst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6188A05E" w:rsidR="00C41FAE" w:rsidRDefault="002B4C07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266AE5">
      <w:rPr>
        <w:noProof/>
        <w:snapToGrid w:val="0"/>
      </w:rPr>
      <w:t>CCPII-2023-42-5902r1_i.docx</w:t>
    </w:r>
    <w:r>
      <w:rPr>
        <w:snapToGrid w:val="0"/>
      </w:rPr>
      <w:fldChar w:fldCharType="end"/>
    </w:r>
    <w:r w:rsidR="00C41FAE">
      <w:tab/>
    </w:r>
    <w:r w:rsidR="009F3654">
      <w:t xml:space="preserve">                    </w:t>
    </w:r>
    <w:r w:rsidR="00AC1B24">
      <w:t xml:space="preserve">  </w:t>
    </w:r>
    <w:r w:rsidR="009F3654">
      <w:t xml:space="preserve">   0</w:t>
    </w:r>
    <w:r w:rsidR="00AC1B24">
      <w:t>6</w:t>
    </w:r>
    <w:r w:rsidR="009F3654">
      <w:t>.08.23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</w:t>
    </w:r>
    <w:proofErr w:type="gramStart"/>
    <w:r w:rsidRPr="00B71FAB">
      <w:rPr>
        <w:rFonts w:ascii="Arial" w:hAnsi="Arial"/>
        <w:sz w:val="16"/>
        <w:lang w:val="pt-BR"/>
      </w:rPr>
      <w:t xml:space="preserve">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>e-mail</w:t>
    </w:r>
    <w:proofErr w:type="gramEnd"/>
    <w:r w:rsidRPr="00B71FAB">
      <w:rPr>
        <w:rFonts w:ascii="Arial" w:hAnsi="Arial"/>
        <w:sz w:val="16"/>
        <w:lang w:val="pt-BR"/>
      </w:rPr>
      <w:t xml:space="preserve">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CF9A" w14:textId="77777777" w:rsidR="005B746C" w:rsidRDefault="005B746C">
      <w:r>
        <w:separator/>
      </w:r>
    </w:p>
  </w:footnote>
  <w:footnote w:type="continuationSeparator" w:id="0">
    <w:p w14:paraId="0747559C" w14:textId="77777777" w:rsidR="005B746C" w:rsidRDefault="005B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C41FAE" w:rsidRPr="00CA164C" w14:paraId="4F38018C" w14:textId="77777777" w:rsidTr="004F7C58">
      <w:trPr>
        <w:cantSplit/>
        <w:trHeight w:val="1710"/>
      </w:trPr>
      <w:tc>
        <w:tcPr>
          <w:tcW w:w="1440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5" name="Picture 5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6F687F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ACF5C4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0629A6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56F0B2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843842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1F9C423D" w14:textId="42C0E1AD" w:rsidR="00C41FAE" w:rsidRPr="005E2C5E" w:rsidRDefault="00016AF3">
          <w:pPr>
            <w:ind w:left="290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ORGANIZACI</w:t>
          </w:r>
          <w:r w:rsidR="009762A5" w:rsidRPr="005E2C5E">
            <w:rPr>
              <w:rFonts w:ascii="Arial" w:hAnsi="Arial" w:cs="Arial"/>
              <w:b/>
              <w:sz w:val="25"/>
              <w:lang w:val="es-ES"/>
            </w:rPr>
            <w:t>Ó</w:t>
          </w:r>
          <w:r w:rsidR="00C41FAE" w:rsidRPr="005E2C5E">
            <w:rPr>
              <w:rFonts w:ascii="Arial" w:hAnsi="Arial" w:cs="Arial"/>
              <w:b/>
              <w:sz w:val="25"/>
              <w:lang w:val="es-ES"/>
            </w:rPr>
            <w:t xml:space="preserve">N DE LOS ESTADOS AMERICANOS </w:t>
          </w:r>
        </w:p>
        <w:p w14:paraId="48A5CFC3" w14:textId="77777777" w:rsidR="00C41FAE" w:rsidRPr="005E2C5E" w:rsidRDefault="00C41FAE">
          <w:pPr>
            <w:ind w:left="290"/>
            <w:rPr>
              <w:rFonts w:ascii="Arial" w:hAnsi="Arial" w:cs="Arial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ORGANIZATION OF AMERICAN STATES</w:t>
          </w: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</w:p>
        <w:p w14:paraId="1C204F1F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4"/>
              <w:lang w:val="es-ES"/>
            </w:rPr>
          </w:pPr>
        </w:p>
        <w:p w14:paraId="1E882597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Comisión Interamericana de Telecomunicaciones</w:t>
          </w:r>
        </w:p>
        <w:p w14:paraId="6816D6B6" w14:textId="77777777" w:rsidR="00C41FAE" w:rsidRPr="00DF6653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Inter-American </w:t>
          </w:r>
          <w:proofErr w:type="spellStart"/>
          <w:r w:rsidRPr="005E2C5E">
            <w:rPr>
              <w:rFonts w:ascii="Arial" w:hAnsi="Arial" w:cs="Arial"/>
              <w:b/>
              <w:sz w:val="24"/>
              <w:lang w:val="es-ES"/>
            </w:rPr>
            <w:t>Telecommunication</w:t>
          </w:r>
          <w:proofErr w:type="spellEnd"/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  <w:proofErr w:type="spellStart"/>
          <w:r w:rsidRPr="005E2C5E">
            <w:rPr>
              <w:rFonts w:ascii="Arial" w:hAnsi="Arial" w:cs="Arial"/>
              <w:b/>
              <w:sz w:val="24"/>
              <w:lang w:val="es-ES"/>
            </w:rPr>
            <w:t>Commission</w:t>
          </w:r>
          <w:proofErr w:type="spellEnd"/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6498579">
    <w:abstractNumId w:val="0"/>
  </w:num>
  <w:num w:numId="2" w16cid:durableId="169761849">
    <w:abstractNumId w:val="2"/>
  </w:num>
  <w:num w:numId="3" w16cid:durableId="1308049182">
    <w:abstractNumId w:val="4"/>
  </w:num>
  <w:num w:numId="4" w16cid:durableId="2143771804">
    <w:abstractNumId w:val="1"/>
  </w:num>
  <w:num w:numId="5" w16cid:durableId="71559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81042"/>
    <w:rsid w:val="00086E61"/>
    <w:rsid w:val="0009082A"/>
    <w:rsid w:val="00092B9A"/>
    <w:rsid w:val="000C13F4"/>
    <w:rsid w:val="000C6C3F"/>
    <w:rsid w:val="000D09FC"/>
    <w:rsid w:val="000E0D26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4F13"/>
    <w:rsid w:val="001656B9"/>
    <w:rsid w:val="00190614"/>
    <w:rsid w:val="001E2B56"/>
    <w:rsid w:val="00204E6D"/>
    <w:rsid w:val="00211705"/>
    <w:rsid w:val="00214619"/>
    <w:rsid w:val="002178DF"/>
    <w:rsid w:val="00233132"/>
    <w:rsid w:val="0024202E"/>
    <w:rsid w:val="0025504C"/>
    <w:rsid w:val="00266AE5"/>
    <w:rsid w:val="002909CF"/>
    <w:rsid w:val="002A6325"/>
    <w:rsid w:val="002B4C07"/>
    <w:rsid w:val="003001F7"/>
    <w:rsid w:val="003154A6"/>
    <w:rsid w:val="0031615C"/>
    <w:rsid w:val="00357A92"/>
    <w:rsid w:val="003701A5"/>
    <w:rsid w:val="00375A06"/>
    <w:rsid w:val="00394C7C"/>
    <w:rsid w:val="003B26CD"/>
    <w:rsid w:val="003B5D09"/>
    <w:rsid w:val="00426E20"/>
    <w:rsid w:val="0045478F"/>
    <w:rsid w:val="004566B8"/>
    <w:rsid w:val="004571A3"/>
    <w:rsid w:val="00471B76"/>
    <w:rsid w:val="00482D07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B746C"/>
    <w:rsid w:val="005C0186"/>
    <w:rsid w:val="005C4FF3"/>
    <w:rsid w:val="005C60FF"/>
    <w:rsid w:val="005E2C5E"/>
    <w:rsid w:val="00617712"/>
    <w:rsid w:val="00620569"/>
    <w:rsid w:val="00620A43"/>
    <w:rsid w:val="006445B1"/>
    <w:rsid w:val="00662EE2"/>
    <w:rsid w:val="00686D89"/>
    <w:rsid w:val="00696717"/>
    <w:rsid w:val="006A2E75"/>
    <w:rsid w:val="006C2785"/>
    <w:rsid w:val="006D315B"/>
    <w:rsid w:val="006D63BD"/>
    <w:rsid w:val="006E16A4"/>
    <w:rsid w:val="006F3040"/>
    <w:rsid w:val="007043EB"/>
    <w:rsid w:val="007122E0"/>
    <w:rsid w:val="007241FD"/>
    <w:rsid w:val="00730CFE"/>
    <w:rsid w:val="00762C5B"/>
    <w:rsid w:val="007907D1"/>
    <w:rsid w:val="007A0652"/>
    <w:rsid w:val="007C144A"/>
    <w:rsid w:val="007C4674"/>
    <w:rsid w:val="007C70B1"/>
    <w:rsid w:val="007D7469"/>
    <w:rsid w:val="007E4146"/>
    <w:rsid w:val="00804806"/>
    <w:rsid w:val="00823D27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086E"/>
    <w:rsid w:val="008A61D6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92152"/>
    <w:rsid w:val="009B3A10"/>
    <w:rsid w:val="009B3A2A"/>
    <w:rsid w:val="009B7B6A"/>
    <w:rsid w:val="009E427F"/>
    <w:rsid w:val="009F3654"/>
    <w:rsid w:val="00A0122F"/>
    <w:rsid w:val="00A22F2B"/>
    <w:rsid w:val="00A339A9"/>
    <w:rsid w:val="00A4159C"/>
    <w:rsid w:val="00A51807"/>
    <w:rsid w:val="00A6371A"/>
    <w:rsid w:val="00AA2672"/>
    <w:rsid w:val="00AB17C2"/>
    <w:rsid w:val="00AC1B24"/>
    <w:rsid w:val="00B3194A"/>
    <w:rsid w:val="00B335FC"/>
    <w:rsid w:val="00B42446"/>
    <w:rsid w:val="00B47FB3"/>
    <w:rsid w:val="00B52A9B"/>
    <w:rsid w:val="00B63DC3"/>
    <w:rsid w:val="00B64C14"/>
    <w:rsid w:val="00B70330"/>
    <w:rsid w:val="00B71FAB"/>
    <w:rsid w:val="00B83494"/>
    <w:rsid w:val="00B91A68"/>
    <w:rsid w:val="00BC317B"/>
    <w:rsid w:val="00BF172C"/>
    <w:rsid w:val="00BF5112"/>
    <w:rsid w:val="00C05C35"/>
    <w:rsid w:val="00C14398"/>
    <w:rsid w:val="00C31B62"/>
    <w:rsid w:val="00C407E9"/>
    <w:rsid w:val="00C41FAE"/>
    <w:rsid w:val="00C439D7"/>
    <w:rsid w:val="00C47412"/>
    <w:rsid w:val="00C52356"/>
    <w:rsid w:val="00C57390"/>
    <w:rsid w:val="00C850BE"/>
    <w:rsid w:val="00C9294D"/>
    <w:rsid w:val="00CA164C"/>
    <w:rsid w:val="00CD1C09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6311"/>
    <w:rsid w:val="00E16756"/>
    <w:rsid w:val="00E41667"/>
    <w:rsid w:val="00E55E58"/>
    <w:rsid w:val="00E648C4"/>
    <w:rsid w:val="00E70641"/>
    <w:rsid w:val="00E71456"/>
    <w:rsid w:val="00E879C2"/>
    <w:rsid w:val="00EC5168"/>
    <w:rsid w:val="00ED49AA"/>
    <w:rsid w:val="00EE239A"/>
    <w:rsid w:val="00EE3CD2"/>
    <w:rsid w:val="00F259D9"/>
    <w:rsid w:val="00F41393"/>
    <w:rsid w:val="00F4553D"/>
    <w:rsid w:val="00F62A22"/>
    <w:rsid w:val="00F63C10"/>
    <w:rsid w:val="00FA216B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table" w:styleId="TableGrid">
    <w:name w:val="Table Grid"/>
    <w:basedOn w:val="TableNormal"/>
    <w:rsid w:val="002B4C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No">
    <w:name w:val="Res_No"/>
    <w:basedOn w:val="Normal"/>
    <w:next w:val="Normal"/>
    <w:link w:val="ResNoChar"/>
    <w:rsid w:val="00AC1B2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paragraph" w:customStyle="1" w:styleId="Proposal">
    <w:name w:val="Proposal"/>
    <w:basedOn w:val="Normal"/>
    <w:next w:val="Normal"/>
    <w:link w:val="ProposalChar"/>
    <w:rsid w:val="00AC1B2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AC1B24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rsid w:val="00AC1B2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AC1B24"/>
  </w:style>
  <w:style w:type="character" w:customStyle="1" w:styleId="RestitleChar">
    <w:name w:val="Res_title Char"/>
    <w:link w:val="Restitle"/>
    <w:locked/>
    <w:rsid w:val="00AC1B24"/>
    <w:rPr>
      <w:rFonts w:ascii="Times New Roman Bold" w:hAnsi="Times New Roman Bold"/>
      <w:b/>
      <w:sz w:val="28"/>
      <w:lang w:val="en-GB"/>
    </w:rPr>
  </w:style>
  <w:style w:type="character" w:customStyle="1" w:styleId="ProposalChar">
    <w:name w:val="Proposal Char"/>
    <w:link w:val="Proposal"/>
    <w:locked/>
    <w:rsid w:val="00AC1B24"/>
    <w:rPr>
      <w:rFonts w:hAnsi="Times New Roman Bold"/>
      <w:b/>
      <w:sz w:val="24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C1B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AC1B24"/>
    <w:rPr>
      <w:sz w:val="24"/>
      <w:lang w:val="en-GB"/>
    </w:rPr>
  </w:style>
  <w:style w:type="character" w:customStyle="1" w:styleId="ResNoChar">
    <w:name w:val="Res_No Char"/>
    <w:link w:val="ResNo"/>
    <w:rsid w:val="00AC1B24"/>
    <w:rPr>
      <w:caps/>
      <w:sz w:val="28"/>
      <w:lang w:val="en-GB"/>
    </w:rPr>
  </w:style>
  <w:style w:type="character" w:customStyle="1" w:styleId="ReasonsChar">
    <w:name w:val="Reasons Char"/>
    <w:link w:val="Reasons"/>
    <w:rsid w:val="00AC1B2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6" ma:contentTypeDescription="Create a new document." ma:contentTypeScope="" ma:versionID="bb2e871aee98d4bbaaa740b9ab2b7d20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a6ee19385245ceffda334847d79f7b70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4.xml><?xml version="1.0" encoding="utf-8"?>
<ds:datastoreItem xmlns:ds="http://schemas.openxmlformats.org/officeDocument/2006/customXml" ds:itemID="{20F334ED-96A2-461A-BFD1-D6DE54695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1995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 AGENDA ITEM 10 – PAI 2.2 SUP RES. 176</vt:lpstr>
    </vt:vector>
  </TitlesOfParts>
  <Manager/>
  <Company/>
  <LinksUpToDate>false</LinksUpToDate>
  <CharactersWithSpaces>2314</CharactersWithSpaces>
  <SharedDoc>false</SharedDoc>
  <HyperlinkBase/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 PROPOSALS FOR THE WORK OF THE CONFERENCE AGENDA ITEM 10 – PAI 2.2 SUP RES. 176</dc:title>
  <dc:subject>3.1 (SGT5)</dc:subject>
  <dc:creator>USA</dc:creator>
  <cp:keywords/>
  <dc:description>VB</dc:description>
  <cp:lastModifiedBy>Munoz, Miguel</cp:lastModifiedBy>
  <cp:revision>3</cp:revision>
  <cp:lastPrinted>1999-10-11T18:56:00Z</cp:lastPrinted>
  <dcterms:created xsi:type="dcterms:W3CDTF">2023-08-18T15:24:00Z</dcterms:created>
  <dcterms:modified xsi:type="dcterms:W3CDTF">2023-08-18T15:24:00Z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i4>33091800</vt:i4>
  </property>
  <property fmtid="{D5CDD505-2E9C-101B-9397-08002B2CF9AE}" pid="7" name="MediaServiceImageTags">
    <vt:lpwstr/>
  </property>
</Properties>
</file>