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0" w:type="dxa"/>
        <w:tblInd w:w="-360" w:type="dxa"/>
        <w:tblLayout w:type="fixed"/>
        <w:tblCellMar>
          <w:left w:w="70" w:type="dxa"/>
          <w:right w:w="70" w:type="dxa"/>
        </w:tblCellMar>
        <w:tblLook w:val="0000" w:firstRow="0" w:lastRow="0" w:firstColumn="0" w:lastColumn="0" w:noHBand="0" w:noVBand="0"/>
      </w:tblPr>
      <w:tblGrid>
        <w:gridCol w:w="1557"/>
        <w:gridCol w:w="5013"/>
        <w:gridCol w:w="2121"/>
        <w:gridCol w:w="1669"/>
      </w:tblGrid>
      <w:tr w:rsidR="00DF6653" w:rsidRPr="007242C3" w14:paraId="5654DF36" w14:textId="77777777" w:rsidTr="00081042">
        <w:trPr>
          <w:trHeight w:val="1509"/>
        </w:trPr>
        <w:tc>
          <w:tcPr>
            <w:tcW w:w="6570" w:type="dxa"/>
            <w:gridSpan w:val="2"/>
          </w:tcPr>
          <w:p w14:paraId="30BBE376" w14:textId="77777777" w:rsidR="00081042" w:rsidRPr="007242C3" w:rsidRDefault="00081042" w:rsidP="00081042">
            <w:pPr>
              <w:rPr>
                <w:b/>
                <w:sz w:val="22"/>
                <w:szCs w:val="22"/>
              </w:rPr>
            </w:pPr>
            <w:r w:rsidRPr="007242C3">
              <w:rPr>
                <w:b/>
                <w:sz w:val="22"/>
                <w:szCs w:val="22"/>
              </w:rPr>
              <w:t>42 MEETING OF PERMANENT</w:t>
            </w:r>
          </w:p>
          <w:p w14:paraId="3311F49F" w14:textId="77777777" w:rsidR="00081042" w:rsidRPr="007242C3" w:rsidRDefault="00081042" w:rsidP="00081042">
            <w:pPr>
              <w:rPr>
                <w:b/>
                <w:sz w:val="22"/>
                <w:szCs w:val="22"/>
              </w:rPr>
            </w:pPr>
            <w:r w:rsidRPr="007242C3">
              <w:rPr>
                <w:b/>
                <w:sz w:val="22"/>
                <w:szCs w:val="22"/>
              </w:rPr>
              <w:t>CONSULTATIVE COMMITTEE II:</w:t>
            </w:r>
          </w:p>
          <w:p w14:paraId="52E23E91" w14:textId="77777777" w:rsidR="00081042" w:rsidRPr="007242C3" w:rsidRDefault="00081042" w:rsidP="00081042">
            <w:pPr>
              <w:rPr>
                <w:b/>
                <w:sz w:val="22"/>
                <w:szCs w:val="22"/>
              </w:rPr>
            </w:pPr>
            <w:r w:rsidRPr="007242C3">
              <w:rPr>
                <w:b/>
                <w:sz w:val="22"/>
                <w:szCs w:val="22"/>
              </w:rPr>
              <w:t>RADIOCOMMUNICATIONS</w:t>
            </w:r>
          </w:p>
          <w:p w14:paraId="4C873377" w14:textId="77777777" w:rsidR="00081042" w:rsidRPr="007242C3" w:rsidRDefault="00081042" w:rsidP="00081042">
            <w:pPr>
              <w:rPr>
                <w:b/>
                <w:sz w:val="22"/>
                <w:szCs w:val="22"/>
              </w:rPr>
            </w:pPr>
            <w:r w:rsidRPr="007242C3">
              <w:rPr>
                <w:b/>
                <w:sz w:val="22"/>
                <w:szCs w:val="22"/>
              </w:rPr>
              <w:t>August 28 to September 01, 2023</w:t>
            </w:r>
          </w:p>
          <w:p w14:paraId="04307E7E" w14:textId="79CE408E" w:rsidR="00DF6653" w:rsidRPr="007242C3" w:rsidRDefault="00081042" w:rsidP="00081042">
            <w:pPr>
              <w:rPr>
                <w:b/>
                <w:iCs/>
                <w:sz w:val="22"/>
                <w:szCs w:val="22"/>
              </w:rPr>
            </w:pPr>
            <w:r w:rsidRPr="007242C3">
              <w:rPr>
                <w:b/>
                <w:iCs/>
                <w:sz w:val="22"/>
                <w:szCs w:val="22"/>
              </w:rPr>
              <w:t>Ottawa, Canada</w:t>
            </w:r>
          </w:p>
        </w:tc>
        <w:tc>
          <w:tcPr>
            <w:tcW w:w="3790" w:type="dxa"/>
            <w:gridSpan w:val="2"/>
          </w:tcPr>
          <w:p w14:paraId="27EF8BCA" w14:textId="77777777" w:rsidR="007122E0" w:rsidRPr="007242C3" w:rsidRDefault="007122E0" w:rsidP="007122E0">
            <w:pPr>
              <w:rPr>
                <w:b/>
                <w:sz w:val="22"/>
                <w:szCs w:val="22"/>
              </w:rPr>
            </w:pPr>
            <w:r w:rsidRPr="007242C3">
              <w:rPr>
                <w:b/>
                <w:sz w:val="22"/>
                <w:szCs w:val="22"/>
              </w:rPr>
              <w:t>OEA/Ser.L/XVII.4.2.42</w:t>
            </w:r>
          </w:p>
          <w:p w14:paraId="12740174" w14:textId="3D7199F0" w:rsidR="008C70E1" w:rsidRPr="007242C3" w:rsidRDefault="007122E0" w:rsidP="007122E0">
            <w:pPr>
              <w:rPr>
                <w:b/>
                <w:sz w:val="22"/>
                <w:szCs w:val="22"/>
              </w:rPr>
            </w:pPr>
            <w:r w:rsidRPr="007242C3">
              <w:rPr>
                <w:b/>
                <w:sz w:val="22"/>
                <w:szCs w:val="22"/>
              </w:rPr>
              <w:t xml:space="preserve">CCP.II-RADIO /doc. </w:t>
            </w:r>
            <w:r w:rsidR="00F53F7C" w:rsidRPr="007242C3">
              <w:rPr>
                <w:b/>
                <w:sz w:val="22"/>
                <w:szCs w:val="22"/>
              </w:rPr>
              <w:t>5939</w:t>
            </w:r>
            <w:r w:rsidR="00DF6653" w:rsidRPr="007242C3">
              <w:rPr>
                <w:b/>
                <w:sz w:val="22"/>
                <w:szCs w:val="22"/>
              </w:rPr>
              <w:t>/</w:t>
            </w:r>
            <w:r w:rsidR="0031615C" w:rsidRPr="007242C3">
              <w:rPr>
                <w:b/>
                <w:sz w:val="22"/>
                <w:szCs w:val="22"/>
              </w:rPr>
              <w:t>2</w:t>
            </w:r>
            <w:r w:rsidRPr="007242C3">
              <w:rPr>
                <w:b/>
                <w:sz w:val="22"/>
                <w:szCs w:val="22"/>
              </w:rPr>
              <w:t>3</w:t>
            </w:r>
          </w:p>
          <w:p w14:paraId="508E4034" w14:textId="0B72E016" w:rsidR="008C70E1" w:rsidRPr="007242C3" w:rsidRDefault="000B75EE" w:rsidP="008C70E1">
            <w:pPr>
              <w:rPr>
                <w:b/>
                <w:sz w:val="22"/>
                <w:szCs w:val="22"/>
              </w:rPr>
            </w:pPr>
            <w:r w:rsidRPr="007242C3">
              <w:rPr>
                <w:b/>
                <w:sz w:val="22"/>
                <w:szCs w:val="22"/>
              </w:rPr>
              <w:t>13</w:t>
            </w:r>
            <w:r w:rsidR="00E31DA9" w:rsidRPr="007242C3">
              <w:rPr>
                <w:b/>
                <w:sz w:val="22"/>
                <w:szCs w:val="22"/>
              </w:rPr>
              <w:t xml:space="preserve"> August</w:t>
            </w:r>
            <w:r w:rsidR="008C70E1" w:rsidRPr="007242C3">
              <w:rPr>
                <w:b/>
                <w:sz w:val="22"/>
                <w:szCs w:val="22"/>
              </w:rPr>
              <w:t xml:space="preserve"> 202</w:t>
            </w:r>
            <w:r w:rsidR="007122E0" w:rsidRPr="007242C3">
              <w:rPr>
                <w:b/>
                <w:sz w:val="22"/>
                <w:szCs w:val="22"/>
              </w:rPr>
              <w:t>3</w:t>
            </w:r>
          </w:p>
          <w:p w14:paraId="35D56372" w14:textId="4F3DD50F" w:rsidR="00DF6653" w:rsidRPr="007242C3" w:rsidRDefault="00DF6653" w:rsidP="008C70E1">
            <w:pPr>
              <w:rPr>
                <w:b/>
                <w:sz w:val="22"/>
                <w:szCs w:val="22"/>
              </w:rPr>
            </w:pPr>
            <w:r w:rsidRPr="007242C3">
              <w:rPr>
                <w:b/>
                <w:sz w:val="22"/>
                <w:szCs w:val="22"/>
              </w:rPr>
              <w:t xml:space="preserve">Original: </w:t>
            </w:r>
            <w:r w:rsidR="008233C2" w:rsidRPr="007242C3">
              <w:rPr>
                <w:b/>
                <w:sz w:val="22"/>
                <w:szCs w:val="22"/>
              </w:rPr>
              <w:t>English</w:t>
            </w:r>
          </w:p>
        </w:tc>
      </w:tr>
      <w:tr w:rsidR="00DF6653" w:rsidRPr="007242C3" w14:paraId="35B70C3F" w14:textId="77777777" w:rsidTr="00081042">
        <w:trPr>
          <w:cantSplit/>
          <w:trHeight w:val="511"/>
        </w:trPr>
        <w:tc>
          <w:tcPr>
            <w:tcW w:w="10360" w:type="dxa"/>
            <w:gridSpan w:val="4"/>
          </w:tcPr>
          <w:p w14:paraId="11040073" w14:textId="77777777" w:rsidR="00DF6653" w:rsidRPr="007242C3" w:rsidRDefault="00DF6653">
            <w:pPr>
              <w:rPr>
                <w:b/>
                <w:sz w:val="22"/>
                <w:szCs w:val="22"/>
              </w:rPr>
            </w:pPr>
          </w:p>
          <w:p w14:paraId="6191E97B" w14:textId="77777777" w:rsidR="00DF6653" w:rsidRPr="007242C3" w:rsidRDefault="00DF6653">
            <w:pPr>
              <w:rPr>
                <w:b/>
                <w:sz w:val="22"/>
                <w:szCs w:val="22"/>
              </w:rPr>
            </w:pPr>
          </w:p>
        </w:tc>
      </w:tr>
      <w:tr w:rsidR="00DF6653" w:rsidRPr="007242C3" w14:paraId="35961063" w14:textId="77777777" w:rsidTr="00081042">
        <w:trPr>
          <w:cantSplit/>
          <w:trHeight w:val="256"/>
        </w:trPr>
        <w:tc>
          <w:tcPr>
            <w:tcW w:w="1557" w:type="dxa"/>
          </w:tcPr>
          <w:p w14:paraId="4A5D8A54" w14:textId="77777777" w:rsidR="00DF6653" w:rsidRPr="007242C3" w:rsidRDefault="00DF6653">
            <w:pPr>
              <w:spacing w:before="120"/>
              <w:jc w:val="center"/>
              <w:rPr>
                <w:b/>
                <w:sz w:val="22"/>
                <w:szCs w:val="22"/>
              </w:rPr>
            </w:pPr>
          </w:p>
        </w:tc>
        <w:tc>
          <w:tcPr>
            <w:tcW w:w="7134" w:type="dxa"/>
            <w:gridSpan w:val="2"/>
          </w:tcPr>
          <w:p w14:paraId="01909043" w14:textId="7EFC19A8" w:rsidR="008233C2" w:rsidRPr="007242C3" w:rsidRDefault="008233C2" w:rsidP="00F53F7C">
            <w:pPr>
              <w:spacing w:before="120"/>
              <w:jc w:val="center"/>
              <w:rPr>
                <w:b/>
                <w:caps/>
                <w:sz w:val="24"/>
                <w:szCs w:val="24"/>
              </w:rPr>
            </w:pPr>
            <w:r w:rsidRPr="007242C3">
              <w:rPr>
                <w:b/>
                <w:caps/>
                <w:sz w:val="24"/>
                <w:szCs w:val="24"/>
              </w:rPr>
              <w:t>PROPOSALS FOR THE WORK OF THE CONFERENCE</w:t>
            </w:r>
            <w:r w:rsidR="00F53F7C" w:rsidRPr="007242C3">
              <w:rPr>
                <w:b/>
                <w:caps/>
                <w:sz w:val="24"/>
                <w:szCs w:val="24"/>
              </w:rPr>
              <w:t xml:space="preserve"> </w:t>
            </w:r>
            <w:r w:rsidRPr="007242C3">
              <w:rPr>
                <w:b/>
                <w:caps/>
                <w:sz w:val="24"/>
                <w:szCs w:val="24"/>
              </w:rPr>
              <w:t xml:space="preserve">AGENDA ITEM </w:t>
            </w:r>
            <w:r w:rsidR="0084784C" w:rsidRPr="007242C3">
              <w:rPr>
                <w:b/>
                <w:caps/>
                <w:sz w:val="24"/>
                <w:szCs w:val="24"/>
              </w:rPr>
              <w:t>9.2</w:t>
            </w:r>
            <w:r w:rsidR="00F53F7C" w:rsidRPr="007242C3">
              <w:rPr>
                <w:b/>
                <w:caps/>
                <w:sz w:val="24"/>
                <w:szCs w:val="24"/>
              </w:rPr>
              <w:t xml:space="preserve"> - </w:t>
            </w:r>
            <w:r w:rsidR="00990543" w:rsidRPr="007242C3">
              <w:rPr>
                <w:b/>
                <w:caps/>
                <w:sz w:val="24"/>
                <w:szCs w:val="24"/>
              </w:rPr>
              <w:t>N</w:t>
            </w:r>
            <w:r w:rsidR="00990543" w:rsidRPr="007242C3">
              <w:rPr>
                <w:b/>
                <w:sz w:val="24"/>
                <w:szCs w:val="24"/>
              </w:rPr>
              <w:t>o</w:t>
            </w:r>
            <w:r w:rsidR="00F53F7C" w:rsidRPr="007242C3">
              <w:rPr>
                <w:b/>
                <w:caps/>
                <w:sz w:val="24"/>
                <w:szCs w:val="24"/>
              </w:rPr>
              <w:t>. 21.5</w:t>
            </w:r>
          </w:p>
        </w:tc>
        <w:tc>
          <w:tcPr>
            <w:tcW w:w="1669" w:type="dxa"/>
          </w:tcPr>
          <w:p w14:paraId="21FB025B" w14:textId="77777777" w:rsidR="00DF6653" w:rsidRPr="007242C3" w:rsidRDefault="00DF6653">
            <w:pPr>
              <w:spacing w:before="120"/>
              <w:jc w:val="center"/>
              <w:rPr>
                <w:b/>
                <w:sz w:val="22"/>
                <w:szCs w:val="22"/>
              </w:rPr>
            </w:pPr>
          </w:p>
        </w:tc>
      </w:tr>
      <w:tr w:rsidR="00DF6653" w:rsidRPr="007242C3" w14:paraId="63FC20FC" w14:textId="77777777" w:rsidTr="00081042">
        <w:trPr>
          <w:cantSplit/>
          <w:trHeight w:val="256"/>
        </w:trPr>
        <w:tc>
          <w:tcPr>
            <w:tcW w:w="1557" w:type="dxa"/>
          </w:tcPr>
          <w:p w14:paraId="58FF7533" w14:textId="77777777" w:rsidR="00DF6653" w:rsidRPr="007242C3" w:rsidRDefault="00DF6653">
            <w:pPr>
              <w:spacing w:before="120"/>
              <w:jc w:val="center"/>
              <w:rPr>
                <w:b/>
                <w:sz w:val="22"/>
                <w:szCs w:val="22"/>
              </w:rPr>
            </w:pPr>
          </w:p>
        </w:tc>
        <w:tc>
          <w:tcPr>
            <w:tcW w:w="7134" w:type="dxa"/>
            <w:gridSpan w:val="2"/>
          </w:tcPr>
          <w:p w14:paraId="5B4015C5" w14:textId="1F05B6F1" w:rsidR="00DF6653" w:rsidRPr="007242C3" w:rsidRDefault="00DF6653" w:rsidP="00620569">
            <w:pPr>
              <w:spacing w:before="120"/>
              <w:jc w:val="center"/>
              <w:rPr>
                <w:b/>
                <w:sz w:val="24"/>
                <w:szCs w:val="24"/>
              </w:rPr>
            </w:pPr>
            <w:r w:rsidRPr="007242C3">
              <w:rPr>
                <w:b/>
                <w:sz w:val="24"/>
                <w:szCs w:val="24"/>
              </w:rPr>
              <w:t xml:space="preserve">(Item on the Agenda: </w:t>
            </w:r>
            <w:r w:rsidR="008233C2" w:rsidRPr="007242C3">
              <w:rPr>
                <w:b/>
                <w:sz w:val="24"/>
                <w:szCs w:val="24"/>
              </w:rPr>
              <w:t>3.1 (SGT-</w:t>
            </w:r>
            <w:r w:rsidR="008B09D3" w:rsidRPr="007242C3">
              <w:rPr>
                <w:b/>
                <w:sz w:val="24"/>
                <w:szCs w:val="24"/>
              </w:rPr>
              <w:t>1</w:t>
            </w:r>
            <w:r w:rsidR="008233C2" w:rsidRPr="007242C3">
              <w:rPr>
                <w:b/>
                <w:sz w:val="24"/>
                <w:szCs w:val="24"/>
              </w:rPr>
              <w:t>)</w:t>
            </w:r>
            <w:r w:rsidRPr="007242C3">
              <w:rPr>
                <w:b/>
                <w:sz w:val="24"/>
                <w:szCs w:val="24"/>
              </w:rPr>
              <w:t>)</w:t>
            </w:r>
          </w:p>
        </w:tc>
        <w:tc>
          <w:tcPr>
            <w:tcW w:w="1669" w:type="dxa"/>
          </w:tcPr>
          <w:p w14:paraId="44900427" w14:textId="77777777" w:rsidR="00DF6653" w:rsidRPr="007242C3" w:rsidRDefault="00DF6653">
            <w:pPr>
              <w:spacing w:before="120"/>
              <w:jc w:val="center"/>
              <w:rPr>
                <w:b/>
                <w:sz w:val="22"/>
                <w:szCs w:val="22"/>
              </w:rPr>
            </w:pPr>
          </w:p>
        </w:tc>
      </w:tr>
      <w:tr w:rsidR="00DF6653" w:rsidRPr="007242C3" w14:paraId="69A1C69B" w14:textId="77777777" w:rsidTr="00081042">
        <w:trPr>
          <w:cantSplit/>
          <w:trHeight w:val="256"/>
        </w:trPr>
        <w:tc>
          <w:tcPr>
            <w:tcW w:w="1557" w:type="dxa"/>
            <w:tcBorders>
              <w:bottom w:val="nil"/>
            </w:tcBorders>
          </w:tcPr>
          <w:p w14:paraId="5A8A5510" w14:textId="77777777" w:rsidR="00DF6653" w:rsidRPr="007242C3" w:rsidRDefault="00DF6653">
            <w:pPr>
              <w:spacing w:before="120"/>
              <w:jc w:val="center"/>
              <w:rPr>
                <w:b/>
                <w:sz w:val="22"/>
                <w:szCs w:val="22"/>
              </w:rPr>
            </w:pPr>
          </w:p>
        </w:tc>
        <w:tc>
          <w:tcPr>
            <w:tcW w:w="7134" w:type="dxa"/>
            <w:gridSpan w:val="2"/>
            <w:tcBorders>
              <w:bottom w:val="nil"/>
            </w:tcBorders>
          </w:tcPr>
          <w:p w14:paraId="07EE27C6" w14:textId="577C6853" w:rsidR="00DF6653" w:rsidRPr="007242C3" w:rsidRDefault="00DF6653" w:rsidP="005962C2">
            <w:pPr>
              <w:spacing w:before="120"/>
              <w:jc w:val="center"/>
              <w:rPr>
                <w:b/>
                <w:sz w:val="24"/>
                <w:szCs w:val="24"/>
              </w:rPr>
            </w:pPr>
            <w:r w:rsidRPr="007242C3">
              <w:rPr>
                <w:b/>
                <w:sz w:val="24"/>
                <w:szCs w:val="24"/>
              </w:rPr>
              <w:t xml:space="preserve">(Document submitted by </w:t>
            </w:r>
            <w:r w:rsidR="008233C2" w:rsidRPr="007242C3">
              <w:rPr>
                <w:b/>
                <w:sz w:val="24"/>
                <w:szCs w:val="24"/>
              </w:rPr>
              <w:t xml:space="preserve">the </w:t>
            </w:r>
            <w:r w:rsidR="006F721E" w:rsidRPr="007242C3">
              <w:rPr>
                <w:b/>
                <w:sz w:val="24"/>
                <w:szCs w:val="24"/>
              </w:rPr>
              <w:t>delegation</w:t>
            </w:r>
            <w:r w:rsidR="008233C2" w:rsidRPr="007242C3">
              <w:rPr>
                <w:b/>
                <w:sz w:val="24"/>
                <w:szCs w:val="24"/>
              </w:rPr>
              <w:t xml:space="preserve"> of the United States of America</w:t>
            </w:r>
            <w:r w:rsidR="005962C2" w:rsidRPr="007242C3">
              <w:rPr>
                <w:b/>
                <w:sz w:val="24"/>
                <w:szCs w:val="24"/>
              </w:rPr>
              <w:t>)</w:t>
            </w:r>
          </w:p>
        </w:tc>
        <w:tc>
          <w:tcPr>
            <w:tcW w:w="1669" w:type="dxa"/>
            <w:tcBorders>
              <w:bottom w:val="nil"/>
            </w:tcBorders>
          </w:tcPr>
          <w:p w14:paraId="56788C0E" w14:textId="77777777" w:rsidR="00DF6653" w:rsidRPr="007242C3" w:rsidRDefault="00DF6653">
            <w:pPr>
              <w:spacing w:before="120"/>
              <w:jc w:val="center"/>
              <w:rPr>
                <w:b/>
                <w:sz w:val="22"/>
                <w:szCs w:val="22"/>
              </w:rPr>
            </w:pPr>
          </w:p>
        </w:tc>
      </w:tr>
    </w:tbl>
    <w:tbl>
      <w:tblPr>
        <w:tblStyle w:val="TableGrid"/>
        <w:tblpPr w:leftFromText="180" w:rightFromText="180" w:vertAnchor="text" w:horzAnchor="margin" w:tblpY="1075"/>
        <w:tblW w:w="0" w:type="auto"/>
        <w:tblInd w:w="0" w:type="dxa"/>
        <w:tblLook w:val="04A0" w:firstRow="1" w:lastRow="0" w:firstColumn="1" w:lastColumn="0" w:noHBand="0" w:noVBand="1"/>
      </w:tblPr>
      <w:tblGrid>
        <w:gridCol w:w="9352"/>
      </w:tblGrid>
      <w:tr w:rsidR="000B75EE" w:rsidRPr="007242C3" w14:paraId="5D86721D" w14:textId="77777777" w:rsidTr="000B75EE">
        <w:tc>
          <w:tcPr>
            <w:tcW w:w="9352" w:type="dxa"/>
            <w:tcBorders>
              <w:top w:val="nil"/>
              <w:left w:val="nil"/>
              <w:bottom w:val="single" w:sz="18" w:space="0" w:color="4472C4" w:themeColor="accent5"/>
              <w:right w:val="nil"/>
            </w:tcBorders>
          </w:tcPr>
          <w:p w14:paraId="461A8AF2" w14:textId="77777777" w:rsidR="000B75EE" w:rsidRPr="007242C3" w:rsidRDefault="000B75EE" w:rsidP="000B75EE">
            <w:pPr>
              <w:tabs>
                <w:tab w:val="left" w:pos="699"/>
                <w:tab w:val="left" w:pos="1080"/>
                <w:tab w:val="left" w:pos="7257"/>
                <w:tab w:val="left" w:pos="7920"/>
                <w:tab w:val="left" w:pos="8508"/>
                <w:tab w:val="left" w:pos="9216"/>
              </w:tabs>
              <w:jc w:val="both"/>
              <w:rPr>
                <w:b/>
                <w:sz w:val="22"/>
                <w:szCs w:val="22"/>
              </w:rPr>
            </w:pPr>
            <w:r w:rsidRPr="007242C3">
              <w:rPr>
                <w:b/>
                <w:sz w:val="22"/>
                <w:szCs w:val="22"/>
              </w:rPr>
              <w:t>Impact on the sector:</w:t>
            </w:r>
          </w:p>
          <w:p w14:paraId="035135B7" w14:textId="77777777" w:rsidR="000B75EE" w:rsidRPr="007242C3" w:rsidRDefault="000B75EE" w:rsidP="000B75EE">
            <w:pPr>
              <w:tabs>
                <w:tab w:val="left" w:pos="699"/>
                <w:tab w:val="left" w:pos="1080"/>
                <w:tab w:val="left" w:pos="7257"/>
                <w:tab w:val="left" w:pos="7920"/>
                <w:tab w:val="left" w:pos="8508"/>
                <w:tab w:val="left" w:pos="9216"/>
              </w:tabs>
              <w:jc w:val="both"/>
              <w:rPr>
                <w:b/>
                <w:sz w:val="22"/>
                <w:szCs w:val="22"/>
              </w:rPr>
            </w:pPr>
          </w:p>
        </w:tc>
      </w:tr>
      <w:tr w:rsidR="000B75EE" w:rsidRPr="007242C3" w14:paraId="0231BF1F" w14:textId="77777777" w:rsidTr="000B75EE">
        <w:trPr>
          <w:trHeight w:val="297"/>
        </w:trPr>
        <w:tc>
          <w:tcPr>
            <w:tcW w:w="9352" w:type="dxa"/>
            <w:tcBorders>
              <w:top w:val="single" w:sz="18" w:space="0" w:color="4472C4" w:themeColor="accent5"/>
              <w:left w:val="nil"/>
              <w:bottom w:val="single" w:sz="18" w:space="0" w:color="4472C4" w:themeColor="accent5"/>
              <w:right w:val="nil"/>
            </w:tcBorders>
            <w:hideMark/>
          </w:tcPr>
          <w:p w14:paraId="09D4AB11" w14:textId="77777777" w:rsidR="000B75EE" w:rsidRPr="007242C3" w:rsidRDefault="000B75EE" w:rsidP="000B75EE">
            <w:pPr>
              <w:tabs>
                <w:tab w:val="left" w:pos="699"/>
                <w:tab w:val="left" w:pos="1080"/>
                <w:tab w:val="left" w:pos="7257"/>
                <w:tab w:val="left" w:pos="7920"/>
                <w:tab w:val="left" w:pos="8508"/>
                <w:tab w:val="left" w:pos="9216"/>
              </w:tabs>
              <w:spacing w:before="120" w:after="120"/>
              <w:jc w:val="both"/>
              <w:rPr>
                <w:iCs/>
                <w:sz w:val="22"/>
                <w:szCs w:val="22"/>
              </w:rPr>
            </w:pPr>
            <w:r w:rsidRPr="007242C3">
              <w:rPr>
                <w:iCs/>
                <w:sz w:val="22"/>
                <w:szCs w:val="22"/>
              </w:rPr>
              <w:t>This document supports the work of CITEL’s PCC.II Working Group for WRC under 3.1 (SGT-1) of the agenda.</w:t>
            </w:r>
          </w:p>
          <w:p w14:paraId="3EB35E34" w14:textId="77777777" w:rsidR="000B75EE" w:rsidRPr="007242C3" w:rsidRDefault="000B75EE" w:rsidP="000B75EE">
            <w:pPr>
              <w:tabs>
                <w:tab w:val="left" w:pos="699"/>
                <w:tab w:val="left" w:pos="1080"/>
                <w:tab w:val="left" w:pos="7257"/>
                <w:tab w:val="left" w:pos="7920"/>
                <w:tab w:val="left" w:pos="8508"/>
                <w:tab w:val="left" w:pos="9216"/>
              </w:tabs>
              <w:spacing w:before="120" w:after="120"/>
              <w:jc w:val="both"/>
              <w:rPr>
                <w:iCs/>
                <w:sz w:val="22"/>
                <w:szCs w:val="22"/>
              </w:rPr>
            </w:pPr>
          </w:p>
        </w:tc>
      </w:tr>
    </w:tbl>
    <w:tbl>
      <w:tblPr>
        <w:tblStyle w:val="TableGrid"/>
        <w:tblpPr w:leftFromText="180" w:rightFromText="180" w:vertAnchor="text" w:horzAnchor="margin" w:tblpY="3454"/>
        <w:tblW w:w="9396" w:type="dxa"/>
        <w:tblInd w:w="0" w:type="dxa"/>
        <w:tblLook w:val="04A0" w:firstRow="1" w:lastRow="0" w:firstColumn="1" w:lastColumn="0" w:noHBand="0" w:noVBand="1"/>
      </w:tblPr>
      <w:tblGrid>
        <w:gridCol w:w="9396"/>
      </w:tblGrid>
      <w:tr w:rsidR="000B75EE" w:rsidRPr="007242C3" w14:paraId="60108700" w14:textId="77777777" w:rsidTr="000B75EE">
        <w:trPr>
          <w:trHeight w:val="311"/>
        </w:trPr>
        <w:tc>
          <w:tcPr>
            <w:tcW w:w="9396" w:type="dxa"/>
            <w:tcBorders>
              <w:top w:val="nil"/>
              <w:left w:val="nil"/>
              <w:bottom w:val="single" w:sz="18" w:space="0" w:color="4472C4" w:themeColor="accent5"/>
              <w:right w:val="nil"/>
            </w:tcBorders>
            <w:hideMark/>
          </w:tcPr>
          <w:p w14:paraId="07D70CBE" w14:textId="77777777" w:rsidR="000B75EE" w:rsidRPr="007242C3" w:rsidRDefault="000B75EE" w:rsidP="000B75EE">
            <w:pPr>
              <w:tabs>
                <w:tab w:val="left" w:pos="699"/>
                <w:tab w:val="left" w:pos="1080"/>
                <w:tab w:val="left" w:pos="7257"/>
                <w:tab w:val="left" w:pos="7920"/>
                <w:tab w:val="left" w:pos="8508"/>
                <w:tab w:val="left" w:pos="9216"/>
              </w:tabs>
              <w:jc w:val="both"/>
              <w:rPr>
                <w:b/>
                <w:sz w:val="22"/>
                <w:szCs w:val="22"/>
              </w:rPr>
            </w:pPr>
            <w:r w:rsidRPr="007242C3">
              <w:rPr>
                <w:b/>
                <w:sz w:val="22"/>
                <w:szCs w:val="22"/>
              </w:rPr>
              <w:t>Executive Summary:</w:t>
            </w:r>
          </w:p>
        </w:tc>
      </w:tr>
      <w:tr w:rsidR="000B75EE" w:rsidRPr="007242C3" w14:paraId="60ADA21E" w14:textId="77777777" w:rsidTr="000B75EE">
        <w:trPr>
          <w:trHeight w:val="549"/>
        </w:trPr>
        <w:tc>
          <w:tcPr>
            <w:tcW w:w="9396" w:type="dxa"/>
            <w:tcBorders>
              <w:top w:val="single" w:sz="18" w:space="0" w:color="4472C4" w:themeColor="accent5"/>
              <w:left w:val="nil"/>
              <w:bottom w:val="single" w:sz="18" w:space="0" w:color="4472C4" w:themeColor="accent5"/>
              <w:right w:val="nil"/>
            </w:tcBorders>
            <w:hideMark/>
          </w:tcPr>
          <w:p w14:paraId="7517EAC1" w14:textId="1A1B471A" w:rsidR="000B75EE" w:rsidRPr="007242C3" w:rsidRDefault="000B75EE" w:rsidP="000B75EE">
            <w:pPr>
              <w:tabs>
                <w:tab w:val="left" w:pos="699"/>
                <w:tab w:val="left" w:pos="1080"/>
                <w:tab w:val="left" w:pos="7257"/>
                <w:tab w:val="left" w:pos="7920"/>
                <w:tab w:val="left" w:pos="8508"/>
                <w:tab w:val="left" w:pos="9216"/>
              </w:tabs>
              <w:spacing w:before="120" w:after="120"/>
              <w:jc w:val="both"/>
              <w:rPr>
                <w:bCs/>
                <w:sz w:val="22"/>
                <w:szCs w:val="22"/>
              </w:rPr>
            </w:pPr>
            <w:r w:rsidRPr="007242C3">
              <w:rPr>
                <w:bCs/>
                <w:sz w:val="22"/>
                <w:szCs w:val="22"/>
              </w:rPr>
              <w:t xml:space="preserve">Under agenda item 9.2, the United States makes the proposals below </w:t>
            </w:r>
            <w:r w:rsidR="003342DB" w:rsidRPr="007242C3">
              <w:rPr>
                <w:bCs/>
                <w:sz w:val="22"/>
                <w:szCs w:val="22"/>
              </w:rPr>
              <w:t>on the following sections of the BR Director’s Report:</w:t>
            </w:r>
          </w:p>
          <w:p w14:paraId="06E17544" w14:textId="50161722" w:rsidR="003342DB" w:rsidRPr="007242C3" w:rsidRDefault="003342DB" w:rsidP="003342DB">
            <w:pPr>
              <w:pStyle w:val="ListParagraph"/>
              <w:numPr>
                <w:ilvl w:val="0"/>
                <w:numId w:val="10"/>
              </w:numPr>
              <w:tabs>
                <w:tab w:val="left" w:pos="699"/>
                <w:tab w:val="left" w:pos="1080"/>
                <w:tab w:val="left" w:pos="7257"/>
                <w:tab w:val="left" w:pos="7920"/>
                <w:tab w:val="left" w:pos="8508"/>
                <w:tab w:val="left" w:pos="9216"/>
              </w:tabs>
              <w:spacing w:before="120" w:after="120"/>
              <w:jc w:val="both"/>
              <w:rPr>
                <w:bCs/>
                <w:sz w:val="22"/>
                <w:szCs w:val="22"/>
              </w:rPr>
            </w:pPr>
            <w:r w:rsidRPr="007242C3">
              <w:rPr>
                <w:bCs/>
                <w:sz w:val="22"/>
                <w:szCs w:val="22"/>
              </w:rPr>
              <w:t>RR No. 21.5</w:t>
            </w:r>
          </w:p>
          <w:p w14:paraId="3195F390" w14:textId="77777777" w:rsidR="000B75EE" w:rsidRPr="007242C3" w:rsidRDefault="000B75EE" w:rsidP="000B75EE">
            <w:pPr>
              <w:tabs>
                <w:tab w:val="left" w:pos="699"/>
                <w:tab w:val="left" w:pos="1080"/>
                <w:tab w:val="left" w:pos="7257"/>
                <w:tab w:val="left" w:pos="7920"/>
                <w:tab w:val="left" w:pos="8508"/>
                <w:tab w:val="left" w:pos="9216"/>
              </w:tabs>
              <w:spacing w:before="120" w:after="120"/>
              <w:jc w:val="both"/>
              <w:rPr>
                <w:bCs/>
                <w:sz w:val="22"/>
                <w:szCs w:val="22"/>
              </w:rPr>
            </w:pPr>
          </w:p>
        </w:tc>
      </w:tr>
    </w:tbl>
    <w:p w14:paraId="124CDF56" w14:textId="77777777" w:rsidR="00677C02" w:rsidRPr="007242C3" w:rsidRDefault="00677C02">
      <w:pPr>
        <w:rPr>
          <w:b/>
          <w:sz w:val="22"/>
          <w:szCs w:val="22"/>
        </w:rPr>
        <w:sectPr w:rsidR="00677C02" w:rsidRPr="007242C3" w:rsidSect="00840D79">
          <w:footerReference w:type="even" r:id="rId11"/>
          <w:footerReference w:type="default" r:id="rId12"/>
          <w:headerReference w:type="first" r:id="rId13"/>
          <w:footerReference w:type="first" r:id="rId14"/>
          <w:pgSz w:w="12242" w:h="15842" w:code="1"/>
          <w:pgMar w:top="1440" w:right="1440" w:bottom="1440" w:left="1440" w:header="720" w:footer="720" w:gutter="0"/>
          <w:pgNumType w:start="0"/>
          <w:cols w:space="720"/>
          <w:titlePg/>
          <w:docGrid w:linePitch="272"/>
        </w:sectPr>
      </w:pPr>
    </w:p>
    <w:p w14:paraId="198EB289" w14:textId="2E8D9EA1" w:rsidR="00B14D5A" w:rsidRPr="007242C3" w:rsidRDefault="00B14D5A" w:rsidP="00B14D5A">
      <w:pPr>
        <w:rPr>
          <w:b/>
          <w:bCs/>
          <w:sz w:val="22"/>
          <w:szCs w:val="22"/>
          <w:lang w:val="en-GB"/>
        </w:rPr>
      </w:pPr>
      <w:r w:rsidRPr="007242C3">
        <w:rPr>
          <w:b/>
          <w:bCs/>
          <w:sz w:val="22"/>
          <w:szCs w:val="22"/>
          <w:lang w:val="en-GB"/>
        </w:rPr>
        <w:lastRenderedPageBreak/>
        <w:t>Background:</w:t>
      </w:r>
    </w:p>
    <w:p w14:paraId="1263E061" w14:textId="0A0B5132" w:rsidR="00B14D5A" w:rsidRPr="007242C3" w:rsidRDefault="00B14D5A" w:rsidP="00B14D5A">
      <w:pPr>
        <w:rPr>
          <w:sz w:val="22"/>
          <w:szCs w:val="22"/>
          <w:lang w:val="en-GB"/>
        </w:rPr>
      </w:pPr>
    </w:p>
    <w:p w14:paraId="1CA39BF8" w14:textId="5468D44B" w:rsidR="00B14D5A" w:rsidRPr="007242C3" w:rsidRDefault="00B14D5A" w:rsidP="000C731E">
      <w:pPr>
        <w:jc w:val="both"/>
        <w:rPr>
          <w:sz w:val="22"/>
          <w:szCs w:val="22"/>
          <w:lang w:val="en-GB"/>
        </w:rPr>
      </w:pPr>
      <w:r w:rsidRPr="007242C3">
        <w:rPr>
          <w:sz w:val="22"/>
          <w:szCs w:val="22"/>
          <w:lang w:val="en-GB"/>
        </w:rPr>
        <w:t xml:space="preserve">Based on a CITEL </w:t>
      </w:r>
      <w:hyperlink r:id="rId15" w:history="1">
        <w:r w:rsidRPr="007242C3">
          <w:rPr>
            <w:color w:val="0563C1"/>
            <w:sz w:val="22"/>
            <w:szCs w:val="22"/>
            <w:u w:val="single"/>
            <w:lang w:val="en-GB"/>
          </w:rPr>
          <w:t>proposal</w:t>
        </w:r>
      </w:hyperlink>
      <w:r w:rsidRPr="007242C3">
        <w:rPr>
          <w:sz w:val="22"/>
          <w:szCs w:val="22"/>
          <w:lang w:val="en-GB"/>
        </w:rPr>
        <w:t xml:space="preserve"> to WRC-19 under agenda item 1.13, WRC-19 identified the 24.25 – 27.5 GHz band for International Mobile Telecommunications (IMT) on a global basis (see No. </w:t>
      </w:r>
      <w:r w:rsidRPr="007242C3">
        <w:rPr>
          <w:b/>
          <w:bCs/>
          <w:sz w:val="22"/>
          <w:szCs w:val="22"/>
          <w:lang w:val="en-GB"/>
        </w:rPr>
        <w:t>5.532AB</w:t>
      </w:r>
      <w:r w:rsidRPr="007242C3">
        <w:rPr>
          <w:sz w:val="22"/>
          <w:szCs w:val="22"/>
          <w:lang w:val="en-GB"/>
        </w:rPr>
        <w:t xml:space="preserve">) with regulatory provisions to ensure the protection of incumbent services contained in Resolution </w:t>
      </w:r>
      <w:r w:rsidRPr="007242C3">
        <w:rPr>
          <w:b/>
          <w:bCs/>
          <w:sz w:val="22"/>
          <w:szCs w:val="22"/>
          <w:lang w:val="en-GB"/>
        </w:rPr>
        <w:t>242 (WRC-19)</w:t>
      </w:r>
      <w:r w:rsidRPr="007242C3">
        <w:rPr>
          <w:sz w:val="22"/>
          <w:szCs w:val="22"/>
          <w:lang w:val="en-GB"/>
        </w:rPr>
        <w:t xml:space="preserve"> and Resolution </w:t>
      </w:r>
      <w:r w:rsidRPr="007242C3">
        <w:rPr>
          <w:b/>
          <w:bCs/>
          <w:sz w:val="22"/>
          <w:szCs w:val="22"/>
          <w:lang w:val="en-GB"/>
        </w:rPr>
        <w:t>750 (WRC-19)</w:t>
      </w:r>
      <w:r w:rsidRPr="007242C3">
        <w:rPr>
          <w:sz w:val="22"/>
          <w:szCs w:val="22"/>
          <w:lang w:val="en-GB"/>
        </w:rPr>
        <w:t xml:space="preserve">.  Based on the results of sharing studies between IMT using an array of active elements and satellite services conducted in Task Group 5/1 that indicated a significant I/N margin to protect ISS and FSS, WRC-19 decided it was not necessary to make any modifications to Article </w:t>
      </w:r>
      <w:r w:rsidRPr="007242C3">
        <w:rPr>
          <w:b/>
          <w:bCs/>
          <w:sz w:val="22"/>
          <w:szCs w:val="22"/>
          <w:lang w:val="en-GB"/>
        </w:rPr>
        <w:t>21</w:t>
      </w:r>
      <w:r w:rsidRPr="007242C3">
        <w:rPr>
          <w:sz w:val="22"/>
          <w:szCs w:val="22"/>
          <w:lang w:val="en-GB"/>
        </w:rPr>
        <w:t xml:space="preserve">, including Table </w:t>
      </w:r>
      <w:r w:rsidRPr="007242C3">
        <w:rPr>
          <w:b/>
          <w:bCs/>
          <w:sz w:val="22"/>
          <w:szCs w:val="22"/>
          <w:lang w:val="en-GB"/>
        </w:rPr>
        <w:t>21-2</w:t>
      </w:r>
      <w:r w:rsidRPr="007242C3">
        <w:rPr>
          <w:sz w:val="22"/>
          <w:szCs w:val="22"/>
          <w:lang w:val="en-GB"/>
        </w:rPr>
        <w:t xml:space="preserve">. </w:t>
      </w:r>
    </w:p>
    <w:p w14:paraId="4BA32B72" w14:textId="0DD75598" w:rsidR="00B14D5A" w:rsidRPr="007242C3" w:rsidRDefault="00B14D5A" w:rsidP="000C731E">
      <w:pPr>
        <w:tabs>
          <w:tab w:val="left" w:pos="1134"/>
          <w:tab w:val="left" w:pos="1871"/>
          <w:tab w:val="left" w:pos="2268"/>
        </w:tabs>
        <w:overflowPunct w:val="0"/>
        <w:autoSpaceDE w:val="0"/>
        <w:autoSpaceDN w:val="0"/>
        <w:adjustRightInd w:val="0"/>
        <w:spacing w:before="360"/>
        <w:jc w:val="both"/>
        <w:rPr>
          <w:rFonts w:eastAsia="Calibri"/>
          <w:sz w:val="22"/>
          <w:szCs w:val="22"/>
          <w:lang w:val="en-GB"/>
        </w:rPr>
      </w:pPr>
      <w:r w:rsidRPr="007242C3">
        <w:rPr>
          <w:rFonts w:eastAsia="Calibri"/>
          <w:sz w:val="22"/>
          <w:szCs w:val="22"/>
          <w:lang w:val="en-GB"/>
        </w:rPr>
        <w:t xml:space="preserve">However, in the discussions on the RCC Regional Commonwealth in the Field of Communications proposal in WRC-19 </w:t>
      </w:r>
      <w:hyperlink r:id="rId16" w:history="1">
        <w:r w:rsidRPr="007242C3">
          <w:rPr>
            <w:rFonts w:eastAsia="Calibri"/>
            <w:color w:val="0563C1"/>
            <w:sz w:val="22"/>
            <w:szCs w:val="22"/>
            <w:u w:val="single"/>
          </w:rPr>
          <w:t>Document 12</w:t>
        </w:r>
      </w:hyperlink>
      <w:r w:rsidRPr="007242C3">
        <w:rPr>
          <w:rFonts w:eastAsia="MS Mincho"/>
          <w:sz w:val="22"/>
          <w:szCs w:val="22"/>
        </w:rPr>
        <w:t xml:space="preserve"> </w:t>
      </w:r>
      <w:r w:rsidRPr="007242C3">
        <w:rPr>
          <w:rFonts w:eastAsia="Calibri"/>
          <w:sz w:val="22"/>
          <w:szCs w:val="22"/>
        </w:rPr>
        <w:t>(Add.13) regarding the inclusion of a definition for total radiated power (TRP) in Article </w:t>
      </w:r>
      <w:r w:rsidRPr="007242C3">
        <w:rPr>
          <w:rFonts w:eastAsia="Calibri"/>
          <w:b/>
          <w:bCs/>
          <w:sz w:val="22"/>
          <w:szCs w:val="22"/>
        </w:rPr>
        <w:t>1</w:t>
      </w:r>
      <w:r w:rsidRPr="007242C3">
        <w:rPr>
          <w:rFonts w:eastAsia="Calibri"/>
          <w:sz w:val="22"/>
          <w:szCs w:val="22"/>
        </w:rPr>
        <w:t>, as well as the amendment of No. </w:t>
      </w:r>
      <w:r w:rsidRPr="007242C3">
        <w:rPr>
          <w:rFonts w:eastAsia="Calibri"/>
          <w:b/>
          <w:bCs/>
          <w:sz w:val="22"/>
          <w:szCs w:val="22"/>
        </w:rPr>
        <w:t>21.5</w:t>
      </w:r>
      <w:r w:rsidRPr="007242C3">
        <w:rPr>
          <w:rFonts w:eastAsia="Calibri"/>
          <w:sz w:val="22"/>
          <w:szCs w:val="22"/>
        </w:rPr>
        <w:t xml:space="preserve"> to address the stations with an active antenna system (AAS), the Ad-Hoc Group of the Plenary on agenda item 1.13 provided a view that was included in the Minutes of the Plenary.  </w:t>
      </w:r>
      <w:r w:rsidRPr="007242C3">
        <w:rPr>
          <w:rFonts w:eastAsia="Calibri"/>
          <w:iCs/>
          <w:sz w:val="22"/>
          <w:szCs w:val="22"/>
          <w:lang w:val="en-GB"/>
        </w:rPr>
        <w:t xml:space="preserve">The following text set out in the Annex to </w:t>
      </w:r>
      <w:hyperlink r:id="rId17" w:history="1">
        <w:r w:rsidRPr="007242C3">
          <w:rPr>
            <w:rFonts w:eastAsia="Calibri"/>
            <w:iCs/>
            <w:color w:val="0563C1"/>
            <w:sz w:val="22"/>
            <w:szCs w:val="22"/>
            <w:u w:val="single"/>
            <w:lang w:val="en-GB"/>
          </w:rPr>
          <w:t>WRC-19 Document 550</w:t>
        </w:r>
      </w:hyperlink>
      <w:r w:rsidRPr="007242C3">
        <w:rPr>
          <w:rFonts w:eastAsia="Calibri"/>
          <w:sz w:val="22"/>
          <w:szCs w:val="22"/>
          <w:lang w:val="en-GB"/>
        </w:rPr>
        <w:t xml:space="preserve"> was approved and included in the minutes of the meeting as a decision of the conference (</w:t>
      </w:r>
      <w:hyperlink r:id="rId18" w:history="1">
        <w:r w:rsidRPr="007242C3">
          <w:rPr>
            <w:rFonts w:eastAsia="Calibri"/>
            <w:color w:val="0563C1"/>
            <w:sz w:val="22"/>
            <w:szCs w:val="22"/>
            <w:u w:val="single"/>
            <w:lang w:val="en-GB"/>
          </w:rPr>
          <w:t>WRC-19 Document 573</w:t>
        </w:r>
      </w:hyperlink>
      <w:r w:rsidRPr="007242C3">
        <w:rPr>
          <w:rFonts w:eastAsia="Calibri"/>
          <w:sz w:val="22"/>
          <w:szCs w:val="22"/>
          <w:lang w:val="en-GB"/>
        </w:rPr>
        <w:t>):</w:t>
      </w:r>
    </w:p>
    <w:p w14:paraId="4DC690A6" w14:textId="18FB643D" w:rsidR="00B14D5A" w:rsidRPr="007242C3" w:rsidRDefault="00B14D5A" w:rsidP="000C731E">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p>
    <w:p w14:paraId="55A82125" w14:textId="4632C605" w:rsidR="00B14D5A" w:rsidRPr="007242C3" w:rsidRDefault="00B14D5A" w:rsidP="00B14D5A">
      <w:pPr>
        <w:tabs>
          <w:tab w:val="left" w:pos="1134"/>
          <w:tab w:val="left" w:pos="1871"/>
          <w:tab w:val="left" w:pos="2268"/>
        </w:tabs>
        <w:overflowPunct w:val="0"/>
        <w:autoSpaceDE w:val="0"/>
        <w:autoSpaceDN w:val="0"/>
        <w:adjustRightInd w:val="0"/>
        <w:spacing w:before="120" w:after="160" w:line="252" w:lineRule="auto"/>
        <w:jc w:val="center"/>
        <w:textAlignment w:val="baseline"/>
        <w:rPr>
          <w:b/>
          <w:i/>
          <w:iCs/>
          <w:sz w:val="22"/>
          <w:szCs w:val="22"/>
          <w:lang w:val="en-GB"/>
        </w:rPr>
      </w:pPr>
      <w:bookmarkStart w:id="0" w:name="_Hlk126575350"/>
      <w:r w:rsidRPr="007242C3">
        <w:rPr>
          <w:b/>
          <w:i/>
          <w:iCs/>
          <w:sz w:val="22"/>
          <w:szCs w:val="22"/>
          <w:lang w:val="en-GB"/>
        </w:rPr>
        <w:t xml:space="preserve">Verification of No. 21.5 for the notification of IMT stations operating in the frequency band 24.45-27.5 GHz which use an antenna </w:t>
      </w:r>
      <w:r w:rsidRPr="007242C3">
        <w:rPr>
          <w:b/>
          <w:i/>
          <w:iCs/>
          <w:sz w:val="22"/>
          <w:szCs w:val="22"/>
          <w:lang w:val="en-GB"/>
        </w:rPr>
        <w:br/>
        <w:t xml:space="preserve">that consists of an array of active </w:t>
      </w:r>
      <w:proofErr w:type="gramStart"/>
      <w:r w:rsidRPr="007242C3">
        <w:rPr>
          <w:b/>
          <w:i/>
          <w:iCs/>
          <w:sz w:val="22"/>
          <w:szCs w:val="22"/>
          <w:lang w:val="en-GB"/>
        </w:rPr>
        <w:t>elements</w:t>
      </w:r>
      <w:bookmarkEnd w:id="0"/>
      <w:proofErr w:type="gramEnd"/>
    </w:p>
    <w:p w14:paraId="2E0C7769" w14:textId="5B9374A7" w:rsidR="00B14D5A" w:rsidRPr="007242C3" w:rsidRDefault="00B14D5A" w:rsidP="000C731E">
      <w:pPr>
        <w:tabs>
          <w:tab w:val="left" w:pos="1134"/>
          <w:tab w:val="left" w:pos="1871"/>
          <w:tab w:val="left" w:pos="2268"/>
        </w:tabs>
        <w:overflowPunct w:val="0"/>
        <w:autoSpaceDE w:val="0"/>
        <w:autoSpaceDN w:val="0"/>
        <w:adjustRightInd w:val="0"/>
        <w:spacing w:before="120" w:after="160" w:line="252" w:lineRule="auto"/>
        <w:jc w:val="both"/>
        <w:textAlignment w:val="baseline"/>
        <w:rPr>
          <w:i/>
          <w:iCs/>
          <w:sz w:val="22"/>
          <w:szCs w:val="22"/>
          <w:lang w:val="en-GB"/>
        </w:rPr>
      </w:pPr>
      <w:r w:rsidRPr="007242C3">
        <w:rPr>
          <w:i/>
          <w:iCs/>
          <w:sz w:val="22"/>
          <w:szCs w:val="22"/>
          <w:lang w:val="en-GB"/>
        </w:rPr>
        <w:t>ITU</w:t>
      </w:r>
      <w:r w:rsidRPr="007242C3">
        <w:rPr>
          <w:i/>
          <w:iCs/>
          <w:sz w:val="22"/>
          <w:szCs w:val="22"/>
          <w:lang w:val="en-GB"/>
        </w:rPr>
        <w:noBreakHyphen/>
        <w:t>R is invited to study, as a matter of urgency, the applicability of the limit specified in No. </w:t>
      </w:r>
      <w:r w:rsidRPr="007242C3">
        <w:rPr>
          <w:b/>
          <w:i/>
          <w:iCs/>
          <w:sz w:val="22"/>
          <w:szCs w:val="22"/>
          <w:lang w:val="en-GB"/>
        </w:rPr>
        <w:t>21.5</w:t>
      </w:r>
      <w:r w:rsidRPr="007242C3">
        <w:rPr>
          <w:i/>
          <w:iCs/>
          <w:sz w:val="22"/>
          <w:szCs w:val="22"/>
          <w:lang w:val="en-GB"/>
        </w:rPr>
        <w:t xml:space="preserve"> of the Radio Regulations (RR) to IMT stations that use an antenna that consists of an array of active elements, with a view to recommend ways for its possible replacement or revision for such stations, as well as any necessary updates to RR Table </w:t>
      </w:r>
      <w:r w:rsidRPr="007242C3">
        <w:rPr>
          <w:b/>
          <w:i/>
          <w:iCs/>
          <w:sz w:val="22"/>
          <w:szCs w:val="22"/>
          <w:lang w:val="en-GB"/>
        </w:rPr>
        <w:t>21-2</w:t>
      </w:r>
      <w:r w:rsidRPr="007242C3">
        <w:rPr>
          <w:i/>
          <w:iCs/>
          <w:sz w:val="22"/>
          <w:szCs w:val="22"/>
          <w:lang w:val="en-GB"/>
        </w:rPr>
        <w:t xml:space="preserve"> related to terrestrial and space services sharing frequency bands.</w:t>
      </w:r>
    </w:p>
    <w:p w14:paraId="2F4DD15C" w14:textId="234F949C" w:rsidR="00B14D5A" w:rsidRPr="007242C3" w:rsidRDefault="00B14D5A" w:rsidP="000C731E">
      <w:pPr>
        <w:jc w:val="both"/>
        <w:rPr>
          <w:sz w:val="22"/>
          <w:szCs w:val="22"/>
          <w:lang w:val="en-GB"/>
        </w:rPr>
      </w:pPr>
      <w:r w:rsidRPr="007242C3">
        <w:rPr>
          <w:i/>
          <w:iCs/>
          <w:sz w:val="22"/>
          <w:szCs w:val="22"/>
          <w:lang w:val="en-GB"/>
        </w:rPr>
        <w:t>Furthermore, the ITU-R is invited to study, as a matter of urgency, verification of RR No. </w:t>
      </w:r>
      <w:r w:rsidRPr="007242C3">
        <w:rPr>
          <w:b/>
          <w:bCs/>
          <w:i/>
          <w:iCs/>
          <w:sz w:val="22"/>
          <w:szCs w:val="22"/>
          <w:lang w:val="en-GB"/>
        </w:rPr>
        <w:t>21.5</w:t>
      </w:r>
      <w:r w:rsidRPr="007242C3">
        <w:rPr>
          <w:i/>
          <w:iCs/>
          <w:sz w:val="22"/>
          <w:szCs w:val="22"/>
          <w:lang w:val="en-GB"/>
        </w:rPr>
        <w:t xml:space="preserve"> regarding the notification of IMT stations that use an antenna that consists of an array of active elements, as appropriate.”</w:t>
      </w:r>
    </w:p>
    <w:p w14:paraId="57658492" w14:textId="3F04F033" w:rsidR="00B14D5A" w:rsidRPr="007242C3" w:rsidRDefault="00B14D5A" w:rsidP="000C731E">
      <w:pPr>
        <w:jc w:val="both"/>
        <w:rPr>
          <w:sz w:val="22"/>
          <w:szCs w:val="22"/>
          <w:lang w:val="en-GB"/>
        </w:rPr>
      </w:pPr>
    </w:p>
    <w:p w14:paraId="6C9BC02F" w14:textId="5EBF6F8E" w:rsidR="00B14D5A" w:rsidRPr="007242C3" w:rsidRDefault="00B14D5A" w:rsidP="00B14D5A">
      <w:pPr>
        <w:tabs>
          <w:tab w:val="left" w:pos="1134"/>
          <w:tab w:val="left" w:pos="1871"/>
          <w:tab w:val="left" w:pos="2268"/>
        </w:tabs>
        <w:overflowPunct w:val="0"/>
        <w:autoSpaceDE w:val="0"/>
        <w:autoSpaceDN w:val="0"/>
        <w:adjustRightInd w:val="0"/>
        <w:spacing w:before="120"/>
        <w:jc w:val="both"/>
        <w:textAlignment w:val="baseline"/>
        <w:rPr>
          <w:sz w:val="22"/>
          <w:szCs w:val="22"/>
          <w:lang w:eastAsia="ja-JP"/>
        </w:rPr>
      </w:pPr>
      <w:r w:rsidRPr="007242C3">
        <w:rPr>
          <w:sz w:val="22"/>
          <w:szCs w:val="22"/>
          <w:lang w:val="en-GB"/>
        </w:rPr>
        <w:t xml:space="preserve">The process of notification of IMT stations the ITU-R utilizes a set of parameters listed for reference in Form T-12 including frequency assignment, antenna gain, conducted power, </w:t>
      </w:r>
      <w:proofErr w:type="spellStart"/>
      <w:r w:rsidRPr="007242C3">
        <w:rPr>
          <w:sz w:val="22"/>
          <w:szCs w:val="22"/>
          <w:lang w:val="en-GB"/>
        </w:rPr>
        <w:t>e.i.r.p</w:t>
      </w:r>
      <w:proofErr w:type="spellEnd"/>
      <w:r w:rsidRPr="007242C3">
        <w:rPr>
          <w:sz w:val="22"/>
          <w:szCs w:val="22"/>
          <w:lang w:val="en-GB"/>
        </w:rPr>
        <w:t xml:space="preserve">., among others.  </w:t>
      </w:r>
      <w:r w:rsidRPr="007242C3">
        <w:rPr>
          <w:sz w:val="22"/>
          <w:szCs w:val="22"/>
          <w:lang w:eastAsia="ja-JP"/>
        </w:rPr>
        <w:t xml:space="preserve">RR No. </w:t>
      </w:r>
      <w:r w:rsidRPr="007242C3">
        <w:rPr>
          <w:b/>
          <w:bCs/>
          <w:sz w:val="22"/>
          <w:szCs w:val="22"/>
          <w:lang w:eastAsia="ja-JP"/>
        </w:rPr>
        <w:t>21.5</w:t>
      </w:r>
      <w:r w:rsidRPr="007242C3">
        <w:rPr>
          <w:sz w:val="22"/>
          <w:szCs w:val="22"/>
          <w:lang w:eastAsia="ja-JP"/>
        </w:rPr>
        <w:t xml:space="preserve"> limits the power delivered by “a transmitter to the antenna of a station”. It regulates output power of </w:t>
      </w:r>
      <w:proofErr w:type="gramStart"/>
      <w:r w:rsidRPr="007242C3">
        <w:rPr>
          <w:sz w:val="22"/>
          <w:szCs w:val="22"/>
          <w:lang w:eastAsia="ja-JP"/>
        </w:rPr>
        <w:t>each and every</w:t>
      </w:r>
      <w:proofErr w:type="gramEnd"/>
      <w:r w:rsidRPr="007242C3">
        <w:rPr>
          <w:sz w:val="22"/>
          <w:szCs w:val="22"/>
          <w:lang w:eastAsia="ja-JP"/>
        </w:rPr>
        <w:t xml:space="preserve"> transmitter of any given station, not the output power of the entire station, which is the limit stipulated in No. </w:t>
      </w:r>
      <w:r w:rsidRPr="007242C3">
        <w:rPr>
          <w:b/>
          <w:bCs/>
          <w:sz w:val="22"/>
          <w:szCs w:val="22"/>
          <w:lang w:eastAsia="ja-JP"/>
        </w:rPr>
        <w:t>21.3</w:t>
      </w:r>
      <w:r w:rsidRPr="007242C3">
        <w:rPr>
          <w:sz w:val="22"/>
          <w:szCs w:val="22"/>
          <w:lang w:eastAsia="ja-JP"/>
        </w:rPr>
        <w:t xml:space="preserve">. The limit of RR. No. </w:t>
      </w:r>
      <w:r w:rsidRPr="007242C3">
        <w:rPr>
          <w:b/>
          <w:bCs/>
          <w:sz w:val="22"/>
          <w:szCs w:val="22"/>
          <w:lang w:eastAsia="ja-JP"/>
        </w:rPr>
        <w:t>21.5</w:t>
      </w:r>
      <w:r w:rsidRPr="007242C3">
        <w:rPr>
          <w:sz w:val="22"/>
          <w:szCs w:val="22"/>
          <w:lang w:eastAsia="ja-JP"/>
        </w:rPr>
        <w:t xml:space="preserve"> is independent of the number of transmitters and number of antennas at a station as per the definition of a station in RR. No. </w:t>
      </w:r>
      <w:r w:rsidRPr="007242C3">
        <w:rPr>
          <w:b/>
          <w:bCs/>
          <w:sz w:val="22"/>
          <w:szCs w:val="22"/>
          <w:lang w:eastAsia="ja-JP"/>
        </w:rPr>
        <w:t>1.61</w:t>
      </w:r>
      <w:r w:rsidRPr="007242C3">
        <w:rPr>
          <w:sz w:val="22"/>
          <w:szCs w:val="22"/>
          <w:lang w:eastAsia="ja-JP"/>
        </w:rPr>
        <w:t xml:space="preserve">. </w:t>
      </w:r>
      <w:proofErr w:type="gramStart"/>
      <w:r w:rsidRPr="007242C3">
        <w:rPr>
          <w:sz w:val="22"/>
          <w:szCs w:val="22"/>
          <w:lang w:eastAsia="ja-JP"/>
        </w:rPr>
        <w:t>For the purpose of</w:t>
      </w:r>
      <w:proofErr w:type="gramEnd"/>
      <w:r w:rsidRPr="007242C3">
        <w:rPr>
          <w:sz w:val="22"/>
          <w:szCs w:val="22"/>
          <w:lang w:eastAsia="ja-JP"/>
        </w:rPr>
        <w:t xml:space="preserve"> notification of IMT AAS stations, item identifier 8AA as defined in Form T-12 corresponds to the conducted power of a single transmitter irrespective of the number of antennas per transmitter.  </w:t>
      </w:r>
      <w:proofErr w:type="gramStart"/>
      <w:r w:rsidRPr="007242C3">
        <w:rPr>
          <w:sz w:val="22"/>
          <w:szCs w:val="22"/>
          <w:lang w:val="en-GB"/>
        </w:rPr>
        <w:t>In order to</w:t>
      </w:r>
      <w:proofErr w:type="gramEnd"/>
      <w:r w:rsidRPr="007242C3">
        <w:rPr>
          <w:sz w:val="22"/>
          <w:szCs w:val="22"/>
          <w:lang w:val="en-GB"/>
        </w:rPr>
        <w:t xml:space="preserve"> aid administrations in the submission and notification of frequency assignments and allotments to stations in the fixed, mobile and other terrestrial services, the ITU has created Guidelines</w:t>
      </w:r>
      <w:r w:rsidRPr="007242C3">
        <w:rPr>
          <w:rFonts w:eastAsiaTheme="majorEastAsia"/>
          <w:position w:val="6"/>
          <w:sz w:val="22"/>
          <w:szCs w:val="22"/>
          <w:lang w:val="en-GB"/>
        </w:rPr>
        <w:footnoteReference w:id="1"/>
      </w:r>
      <w:r w:rsidRPr="007242C3">
        <w:rPr>
          <w:sz w:val="22"/>
          <w:szCs w:val="22"/>
          <w:lang w:val="en-GB"/>
        </w:rPr>
        <w:t xml:space="preserve"> to describe the process.  </w:t>
      </w:r>
      <w:r w:rsidRPr="007242C3">
        <w:rPr>
          <w:sz w:val="22"/>
          <w:szCs w:val="22"/>
          <w:lang w:val="en-GB"/>
        </w:rPr>
        <w:lastRenderedPageBreak/>
        <w:t xml:space="preserve">According to FXM Guidelines, </w:t>
      </w:r>
      <w:r w:rsidRPr="007242C3">
        <w:rPr>
          <w:i/>
          <w:iCs/>
          <w:sz w:val="22"/>
          <w:szCs w:val="22"/>
          <w:lang w:val="en-GB"/>
        </w:rPr>
        <w:t>“In fact, there is no limit concerning the number of "antennas" for a notice, and no limit concerning the number of receiving sites per antenna.”</w:t>
      </w:r>
      <w:r w:rsidRPr="007242C3">
        <w:rPr>
          <w:sz w:val="22"/>
          <w:szCs w:val="22"/>
          <w:lang w:val="en-GB"/>
        </w:rPr>
        <w:t xml:space="preserve"> Also, </w:t>
      </w:r>
      <w:r w:rsidRPr="007242C3">
        <w:rPr>
          <w:i/>
          <w:iCs/>
          <w:sz w:val="22"/>
          <w:szCs w:val="22"/>
          <w:lang w:val="en-GB"/>
        </w:rPr>
        <w:t>“there is no limit concerning the number of transmitting "antennas" for a notice.”</w:t>
      </w:r>
      <w:r w:rsidRPr="007242C3">
        <w:rPr>
          <w:sz w:val="22"/>
          <w:szCs w:val="22"/>
          <w:lang w:val="en-GB"/>
        </w:rPr>
        <w:t xml:space="preserve"> It should be noted that the precise parameters for the assignment, the antenna, and the receiving site vary according to the notice type.</w:t>
      </w:r>
    </w:p>
    <w:p w14:paraId="2E28C18A" w14:textId="120EE6BF" w:rsidR="00B14D5A" w:rsidRPr="007242C3" w:rsidRDefault="00B14D5A" w:rsidP="00B14D5A">
      <w:pPr>
        <w:keepNext/>
        <w:keepLines/>
        <w:tabs>
          <w:tab w:val="left" w:pos="1134"/>
          <w:tab w:val="left" w:pos="1871"/>
          <w:tab w:val="left" w:pos="2268"/>
        </w:tabs>
        <w:overflowPunct w:val="0"/>
        <w:autoSpaceDE w:val="0"/>
        <w:autoSpaceDN w:val="0"/>
        <w:adjustRightInd w:val="0"/>
        <w:spacing w:before="480" w:after="120"/>
        <w:jc w:val="center"/>
        <w:textAlignment w:val="baseline"/>
        <w:rPr>
          <w:caps/>
          <w:sz w:val="22"/>
          <w:szCs w:val="22"/>
          <w:lang w:val="en-GB"/>
        </w:rPr>
      </w:pPr>
      <w:r w:rsidRPr="007242C3">
        <w:rPr>
          <w:caps/>
          <w:sz w:val="22"/>
          <w:szCs w:val="22"/>
          <w:lang w:val="en-GB"/>
        </w:rPr>
        <w:t xml:space="preserve">Figure 1 </w:t>
      </w:r>
    </w:p>
    <w:p w14:paraId="6C95855A" w14:textId="33C6127E" w:rsidR="00B14D5A" w:rsidRPr="007242C3" w:rsidRDefault="00B14D5A" w:rsidP="00B14D5A">
      <w:pPr>
        <w:jc w:val="center"/>
        <w:rPr>
          <w:b/>
          <w:bCs/>
          <w:sz w:val="22"/>
          <w:szCs w:val="22"/>
          <w:lang w:val="en-GB"/>
        </w:rPr>
      </w:pPr>
      <w:r w:rsidRPr="007242C3">
        <w:rPr>
          <w:b/>
          <w:bCs/>
          <w:sz w:val="22"/>
          <w:szCs w:val="22"/>
          <w:lang w:val="en-GB"/>
        </w:rPr>
        <w:t xml:space="preserve">General structure of an example T12 notice </w:t>
      </w:r>
      <w:proofErr w:type="gramStart"/>
      <w:r w:rsidRPr="007242C3">
        <w:rPr>
          <w:b/>
          <w:bCs/>
          <w:sz w:val="22"/>
          <w:szCs w:val="22"/>
          <w:lang w:val="en-GB"/>
        </w:rPr>
        <w:t>file</w:t>
      </w:r>
      <w:proofErr w:type="gramEnd"/>
    </w:p>
    <w:p w14:paraId="3F29ACB4" w14:textId="2DC712E0" w:rsidR="00B14D5A" w:rsidRPr="007242C3" w:rsidRDefault="00B14D5A" w:rsidP="00B14D5A">
      <w:pPr>
        <w:jc w:val="center"/>
        <w:rPr>
          <w:sz w:val="22"/>
          <w:szCs w:val="22"/>
          <w:lang w:val="en-GB"/>
        </w:rPr>
      </w:pPr>
      <w:r w:rsidRPr="007242C3">
        <w:rPr>
          <w:noProof/>
          <w:sz w:val="22"/>
          <w:szCs w:val="22"/>
        </w:rPr>
        <w:drawing>
          <wp:inline distT="0" distB="0" distL="0" distR="0" wp14:anchorId="2598A320" wp14:editId="6BB6D737">
            <wp:extent cx="4553565" cy="3257550"/>
            <wp:effectExtent l="0" t="0" r="0" b="0"/>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4553565" cy="3257550"/>
                    </a:xfrm>
                    <a:prstGeom prst="rect">
                      <a:avLst/>
                    </a:prstGeom>
                  </pic:spPr>
                </pic:pic>
              </a:graphicData>
            </a:graphic>
          </wp:inline>
        </w:drawing>
      </w:r>
    </w:p>
    <w:p w14:paraId="3CD35B85" w14:textId="7B9025DF" w:rsidR="00B14D5A" w:rsidRPr="007242C3" w:rsidRDefault="00B14D5A" w:rsidP="00B14D5A">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7242C3">
        <w:rPr>
          <w:sz w:val="22"/>
          <w:szCs w:val="22"/>
          <w:lang w:val="en-GB"/>
        </w:rPr>
        <w:t>The process of notification of IMT stations includes declaration of several station parameters including transmitter conducted output power (8AA). The guidelines present sufficient flexibility to accommodate various types of stations with different types of architecture and parameters.  For instance, stations operating on the same frequency assignment could be notified separately when one or more other parameters vary. Therefore, RR No. </w:t>
      </w:r>
      <w:r w:rsidRPr="007242C3">
        <w:rPr>
          <w:b/>
          <w:bCs/>
          <w:sz w:val="22"/>
          <w:szCs w:val="22"/>
          <w:lang w:val="en-GB"/>
        </w:rPr>
        <w:t>21.5</w:t>
      </w:r>
      <w:r w:rsidRPr="007242C3">
        <w:rPr>
          <w:sz w:val="22"/>
          <w:szCs w:val="22"/>
          <w:lang w:val="en-GB"/>
        </w:rPr>
        <w:t xml:space="preserve"> simply applies to the entry for the conducted power of each transmitter output power irrespective of the frequency assignment. </w:t>
      </w:r>
    </w:p>
    <w:p w14:paraId="136AC6E6" w14:textId="5BDD1733" w:rsidR="00B14D5A" w:rsidRPr="007242C3" w:rsidRDefault="00B14D5A" w:rsidP="00B14D5A">
      <w:pPr>
        <w:tabs>
          <w:tab w:val="left" w:pos="1134"/>
          <w:tab w:val="left" w:pos="1871"/>
          <w:tab w:val="left" w:pos="2268"/>
        </w:tabs>
        <w:overflowPunct w:val="0"/>
        <w:autoSpaceDE w:val="0"/>
        <w:autoSpaceDN w:val="0"/>
        <w:adjustRightInd w:val="0"/>
        <w:spacing w:before="120"/>
        <w:jc w:val="both"/>
        <w:textAlignment w:val="baseline"/>
        <w:rPr>
          <w:b/>
          <w:bCs/>
          <w:sz w:val="22"/>
          <w:szCs w:val="22"/>
          <w:lang w:val="en-GB"/>
        </w:rPr>
      </w:pPr>
      <w:r w:rsidRPr="007242C3">
        <w:rPr>
          <w:b/>
          <w:bCs/>
          <w:sz w:val="22"/>
          <w:szCs w:val="22"/>
          <w:lang w:val="en-GB"/>
        </w:rPr>
        <w:t>Thus, the current guidelines as presented by the ITU cover the case of an IMT station using an antenna using an array of active elements in the 26 GHz band and no changes are needed to the Radio Regulations.</w:t>
      </w:r>
    </w:p>
    <w:p w14:paraId="025D2745" w14:textId="6A9D98B7" w:rsidR="00B14D5A" w:rsidRPr="007242C3" w:rsidRDefault="00B14D5A" w:rsidP="000C731E">
      <w:pPr>
        <w:tabs>
          <w:tab w:val="left" w:pos="1134"/>
          <w:tab w:val="left" w:pos="1871"/>
          <w:tab w:val="left" w:pos="2268"/>
        </w:tabs>
        <w:overflowPunct w:val="0"/>
        <w:autoSpaceDE w:val="0"/>
        <w:autoSpaceDN w:val="0"/>
        <w:adjustRightInd w:val="0"/>
        <w:spacing w:before="120"/>
        <w:jc w:val="both"/>
        <w:textAlignment w:val="baseline"/>
        <w:rPr>
          <w:rFonts w:eastAsia="Batang"/>
          <w:sz w:val="22"/>
          <w:szCs w:val="22"/>
          <w:lang w:val="en-GB"/>
        </w:rPr>
      </w:pPr>
      <w:r w:rsidRPr="007242C3">
        <w:rPr>
          <w:sz w:val="22"/>
          <w:szCs w:val="22"/>
          <w:lang w:val="en-GB"/>
        </w:rPr>
        <w:t xml:space="preserve">Other alternative methods that have been studied in the ITU, for example adopting a new, Total Radiated Power (TRP) limit on the entire IMT station utilizing AAS as opposed to the current language of RR No. 21.5 which applies the limit to the conducted output power of one transmitter.  Such a deviation from the letter of the Radio Regulations would discourage the use of larger arrays utilizing higher gain and significantly impact performance of existing and future IMT deployments leading to additional cost and complexity implications for the network operator and consequently for the subscribers, while not bringing additional protection for space stations.  As shown in the studies performed at the ITU, </w:t>
      </w:r>
      <w:r w:rsidRPr="007242C3">
        <w:rPr>
          <w:sz w:val="22"/>
          <w:szCs w:val="22"/>
          <w:lang w:val="en-GB" w:eastAsia="en-GB"/>
        </w:rPr>
        <w:t xml:space="preserve">it is observed that the IMT AAS base station emissions towards satellites are not governed by the TRP of the station, but by </w:t>
      </w:r>
      <w:r w:rsidRPr="007242C3">
        <w:rPr>
          <w:sz w:val="22"/>
          <w:szCs w:val="22"/>
          <w:lang w:eastAsia="zh-CN"/>
        </w:rPr>
        <w:t xml:space="preserve">the </w:t>
      </w:r>
      <w:r w:rsidRPr="007242C3">
        <w:rPr>
          <w:sz w:val="22"/>
          <w:szCs w:val="22"/>
          <w:lang w:eastAsia="zh-CN"/>
        </w:rPr>
        <w:lastRenderedPageBreak/>
        <w:t xml:space="preserve">conducted power per individual transmitter of the station. This is in accordance with the letter of RR No. </w:t>
      </w:r>
      <w:r w:rsidRPr="007242C3">
        <w:rPr>
          <w:b/>
          <w:bCs/>
          <w:sz w:val="22"/>
          <w:szCs w:val="22"/>
          <w:lang w:eastAsia="zh-CN"/>
        </w:rPr>
        <w:t>21.5</w:t>
      </w:r>
      <w:r w:rsidRPr="007242C3">
        <w:rPr>
          <w:sz w:val="22"/>
          <w:szCs w:val="22"/>
          <w:lang w:eastAsia="zh-CN"/>
        </w:rPr>
        <w:t>, whose limit applies to “</w:t>
      </w:r>
      <w:r w:rsidRPr="007242C3">
        <w:rPr>
          <w:i/>
          <w:iCs/>
          <w:sz w:val="22"/>
          <w:szCs w:val="22"/>
          <w:lang w:eastAsia="zh-CN"/>
        </w:rPr>
        <w:t>The power delivered by a transmitter to the antenna of a station</w:t>
      </w:r>
      <w:r w:rsidRPr="007242C3">
        <w:rPr>
          <w:sz w:val="22"/>
          <w:szCs w:val="22"/>
          <w:lang w:eastAsia="zh-CN"/>
        </w:rPr>
        <w:t xml:space="preserve">”.  </w:t>
      </w:r>
      <w:r w:rsidRPr="007242C3">
        <w:rPr>
          <w:rFonts w:eastAsia="Batang"/>
          <w:sz w:val="22"/>
          <w:szCs w:val="22"/>
          <w:lang w:val="en-GB"/>
        </w:rPr>
        <w:t xml:space="preserve">It should be noted that the protection of space receivers is ensured by RR No. </w:t>
      </w:r>
      <w:r w:rsidRPr="007242C3">
        <w:rPr>
          <w:rFonts w:eastAsia="Batang"/>
          <w:b/>
          <w:sz w:val="22"/>
          <w:szCs w:val="22"/>
          <w:lang w:val="en-GB"/>
        </w:rPr>
        <w:t>21.3</w:t>
      </w:r>
      <w:r w:rsidRPr="007242C3">
        <w:rPr>
          <w:rFonts w:eastAsia="Batang"/>
          <w:sz w:val="22"/>
          <w:szCs w:val="22"/>
          <w:lang w:val="en-GB"/>
        </w:rPr>
        <w:t xml:space="preserve">, which sets the radiated power limit of the entire terrestrial station: </w:t>
      </w:r>
    </w:p>
    <w:p w14:paraId="4AB84101" w14:textId="01530635" w:rsidR="00B14D5A" w:rsidRPr="007242C3" w:rsidRDefault="00B14D5A" w:rsidP="00B14D5A">
      <w:pPr>
        <w:tabs>
          <w:tab w:val="left" w:pos="1134"/>
          <w:tab w:val="left" w:pos="1871"/>
          <w:tab w:val="left" w:pos="2268"/>
        </w:tabs>
        <w:overflowPunct w:val="0"/>
        <w:autoSpaceDE w:val="0"/>
        <w:autoSpaceDN w:val="0"/>
        <w:adjustRightInd w:val="0"/>
        <w:spacing w:before="120"/>
        <w:textAlignment w:val="baseline"/>
        <w:rPr>
          <w:rFonts w:eastAsia="Batang"/>
          <w:sz w:val="22"/>
          <w:szCs w:val="22"/>
          <w:lang w:val="en-GB"/>
        </w:rPr>
      </w:pPr>
      <w:r w:rsidRPr="007242C3">
        <w:rPr>
          <w:rFonts w:eastAsia="Batang"/>
          <w:sz w:val="22"/>
          <w:szCs w:val="22"/>
          <w:lang w:val="en-GB"/>
        </w:rPr>
        <w:t>“</w:t>
      </w:r>
      <w:r w:rsidRPr="007242C3">
        <w:rPr>
          <w:rFonts w:eastAsia="Batang"/>
          <w:i/>
          <w:iCs/>
          <w:sz w:val="22"/>
          <w:szCs w:val="22"/>
          <w:lang w:val="en-GB"/>
        </w:rPr>
        <w:t xml:space="preserve">The maximum equivalent </w:t>
      </w:r>
      <w:proofErr w:type="spellStart"/>
      <w:r w:rsidRPr="007242C3">
        <w:rPr>
          <w:rFonts w:eastAsia="Batang"/>
          <w:i/>
          <w:iCs/>
          <w:sz w:val="22"/>
          <w:szCs w:val="22"/>
          <w:lang w:val="en-GB"/>
        </w:rPr>
        <w:t>isotropically</w:t>
      </w:r>
      <w:proofErr w:type="spellEnd"/>
      <w:r w:rsidRPr="007242C3">
        <w:rPr>
          <w:rFonts w:eastAsia="Batang"/>
          <w:i/>
          <w:iCs/>
          <w:sz w:val="22"/>
          <w:szCs w:val="22"/>
          <w:lang w:val="en-GB"/>
        </w:rPr>
        <w:t xml:space="preserve"> radiated power (</w:t>
      </w:r>
      <w:proofErr w:type="spellStart"/>
      <w:r w:rsidRPr="007242C3">
        <w:rPr>
          <w:rFonts w:eastAsia="Batang"/>
          <w:i/>
          <w:iCs/>
          <w:sz w:val="22"/>
          <w:szCs w:val="22"/>
          <w:lang w:val="en-GB"/>
        </w:rPr>
        <w:t>e.i.r.p</w:t>
      </w:r>
      <w:proofErr w:type="spellEnd"/>
      <w:r w:rsidRPr="007242C3">
        <w:rPr>
          <w:rFonts w:eastAsia="Batang"/>
          <w:i/>
          <w:iCs/>
          <w:sz w:val="22"/>
          <w:szCs w:val="22"/>
          <w:lang w:val="en-GB"/>
        </w:rPr>
        <w:t>.) of a station in the fixed or mobile service shall not exceed +55 </w:t>
      </w:r>
      <w:proofErr w:type="spellStart"/>
      <w:r w:rsidRPr="007242C3">
        <w:rPr>
          <w:rFonts w:eastAsia="Batang"/>
          <w:i/>
          <w:iCs/>
          <w:sz w:val="22"/>
          <w:szCs w:val="22"/>
          <w:lang w:val="en-GB"/>
        </w:rPr>
        <w:t>dBW</w:t>
      </w:r>
      <w:proofErr w:type="spellEnd"/>
      <w:r w:rsidRPr="007242C3">
        <w:rPr>
          <w:rFonts w:eastAsia="Batang"/>
          <w:sz w:val="22"/>
          <w:szCs w:val="22"/>
          <w:lang w:val="en-GB"/>
        </w:rPr>
        <w:t>.”</w:t>
      </w:r>
    </w:p>
    <w:p w14:paraId="19A2B363" w14:textId="6921D905" w:rsidR="00B14D5A" w:rsidRPr="007242C3" w:rsidRDefault="00B14D5A" w:rsidP="00B14D5A">
      <w:pPr>
        <w:tabs>
          <w:tab w:val="left" w:pos="1134"/>
          <w:tab w:val="left" w:pos="1871"/>
          <w:tab w:val="left" w:pos="2268"/>
        </w:tabs>
        <w:overflowPunct w:val="0"/>
        <w:autoSpaceDE w:val="0"/>
        <w:autoSpaceDN w:val="0"/>
        <w:adjustRightInd w:val="0"/>
        <w:spacing w:before="120"/>
        <w:jc w:val="both"/>
        <w:textAlignment w:val="baseline"/>
        <w:rPr>
          <w:sz w:val="22"/>
          <w:szCs w:val="22"/>
          <w:lang w:eastAsia="zh-CN"/>
        </w:rPr>
      </w:pPr>
    </w:p>
    <w:p w14:paraId="11C8964A" w14:textId="795B505A" w:rsidR="00B14D5A" w:rsidRPr="007242C3" w:rsidRDefault="00B14D5A" w:rsidP="000C731E">
      <w:pPr>
        <w:tabs>
          <w:tab w:val="left" w:pos="1134"/>
          <w:tab w:val="left" w:pos="1871"/>
          <w:tab w:val="left" w:pos="2268"/>
        </w:tabs>
        <w:overflowPunct w:val="0"/>
        <w:autoSpaceDE w:val="0"/>
        <w:autoSpaceDN w:val="0"/>
        <w:adjustRightInd w:val="0"/>
        <w:spacing w:before="120"/>
        <w:jc w:val="both"/>
        <w:textAlignment w:val="baseline"/>
        <w:rPr>
          <w:sz w:val="22"/>
          <w:szCs w:val="22"/>
          <w:lang w:eastAsia="ja-JP"/>
        </w:rPr>
      </w:pPr>
      <w:r w:rsidRPr="007242C3">
        <w:rPr>
          <w:sz w:val="22"/>
          <w:szCs w:val="22"/>
          <w:lang w:eastAsia="ja-JP"/>
        </w:rPr>
        <w:t xml:space="preserve">Further, in the Radio Regulations, no indications are given of a “reference bandwidth” on which RR Nos. </w:t>
      </w:r>
      <w:r w:rsidRPr="007242C3">
        <w:rPr>
          <w:b/>
          <w:bCs/>
          <w:sz w:val="22"/>
          <w:szCs w:val="22"/>
          <w:lang w:eastAsia="ja-JP"/>
        </w:rPr>
        <w:t>21.3</w:t>
      </w:r>
      <w:r w:rsidRPr="007242C3">
        <w:rPr>
          <w:sz w:val="22"/>
          <w:szCs w:val="22"/>
          <w:lang w:eastAsia="ja-JP"/>
        </w:rPr>
        <w:t xml:space="preserve"> and </w:t>
      </w:r>
      <w:r w:rsidRPr="007242C3">
        <w:rPr>
          <w:b/>
          <w:bCs/>
          <w:sz w:val="22"/>
          <w:szCs w:val="22"/>
          <w:lang w:eastAsia="ja-JP"/>
        </w:rPr>
        <w:t>21.5</w:t>
      </w:r>
      <w:r w:rsidRPr="007242C3">
        <w:rPr>
          <w:sz w:val="22"/>
          <w:szCs w:val="22"/>
          <w:lang w:eastAsia="ja-JP"/>
        </w:rPr>
        <w:t xml:space="preserve"> should be applicable or notified on. The limits are given in terms of power and not Power Spectral Density (PSD). Therefore, they apply to any value given in the notification process declared under item 7AB as “necessary bandwidth”</w:t>
      </w:r>
      <w:r w:rsidRPr="007242C3">
        <w:rPr>
          <w:rFonts w:eastAsiaTheme="majorEastAsia"/>
          <w:position w:val="6"/>
          <w:sz w:val="22"/>
          <w:szCs w:val="22"/>
          <w:lang w:eastAsia="ja-JP"/>
        </w:rPr>
        <w:footnoteReference w:id="2"/>
      </w:r>
      <w:r w:rsidRPr="007242C3">
        <w:rPr>
          <w:sz w:val="22"/>
          <w:szCs w:val="22"/>
          <w:lang w:eastAsia="ja-JP"/>
        </w:rPr>
        <w:t xml:space="preserve">.  With historical trends towards use of larger bandwidth by terrestrial systems, not specifying a bandwidth has led to a decrease in PSD towards other systems over the years, thus reducing the overall likelihood of harmful interference to other services. There is therefore no need to specify a fixed bandwidth for the limit in RR No. </w:t>
      </w:r>
      <w:r w:rsidRPr="007242C3">
        <w:rPr>
          <w:b/>
          <w:bCs/>
          <w:sz w:val="22"/>
          <w:szCs w:val="22"/>
          <w:lang w:eastAsia="ja-JP"/>
        </w:rPr>
        <w:t>21.5</w:t>
      </w:r>
      <w:r w:rsidRPr="007242C3">
        <w:rPr>
          <w:sz w:val="22"/>
          <w:szCs w:val="22"/>
          <w:lang w:eastAsia="ja-JP"/>
        </w:rPr>
        <w:t xml:space="preserve"> or RR No. </w:t>
      </w:r>
      <w:r w:rsidRPr="007242C3">
        <w:rPr>
          <w:b/>
          <w:bCs/>
          <w:sz w:val="22"/>
          <w:szCs w:val="22"/>
          <w:lang w:eastAsia="ja-JP"/>
        </w:rPr>
        <w:t>21.3</w:t>
      </w:r>
      <w:r w:rsidRPr="007242C3">
        <w:rPr>
          <w:sz w:val="22"/>
          <w:szCs w:val="22"/>
          <w:lang w:eastAsia="ja-JP"/>
        </w:rPr>
        <w:t>.</w:t>
      </w:r>
    </w:p>
    <w:p w14:paraId="3A53C5A0" w14:textId="3F267E5D" w:rsidR="00B14D5A" w:rsidRPr="007242C3" w:rsidRDefault="00B14D5A" w:rsidP="00B14D5A">
      <w:pPr>
        <w:rPr>
          <w:sz w:val="22"/>
          <w:szCs w:val="22"/>
          <w:lang w:val="en-GB"/>
        </w:rPr>
      </w:pPr>
    </w:p>
    <w:p w14:paraId="3AD150E2" w14:textId="42CA7E64" w:rsidR="00B14D5A" w:rsidRPr="007242C3" w:rsidRDefault="00B14D5A" w:rsidP="00B14D5A">
      <w:pPr>
        <w:rPr>
          <w:sz w:val="22"/>
          <w:szCs w:val="22"/>
          <w:lang w:val="en-GB"/>
        </w:rPr>
      </w:pPr>
    </w:p>
    <w:p w14:paraId="0B18CC11" w14:textId="08054EA6" w:rsidR="00B14D5A" w:rsidRPr="007242C3" w:rsidRDefault="00B14D5A" w:rsidP="00B14D5A">
      <w:pPr>
        <w:rPr>
          <w:b/>
          <w:bCs/>
          <w:sz w:val="22"/>
          <w:szCs w:val="22"/>
          <w:lang w:val="en-GB"/>
        </w:rPr>
      </w:pPr>
      <w:r w:rsidRPr="007242C3">
        <w:rPr>
          <w:b/>
          <w:bCs/>
          <w:sz w:val="22"/>
          <w:szCs w:val="22"/>
          <w:lang w:val="en-GB"/>
        </w:rPr>
        <w:t>Proposal:</w:t>
      </w:r>
    </w:p>
    <w:p w14:paraId="5159531C" w14:textId="4EA6FB2A" w:rsidR="00B14D5A" w:rsidRPr="007242C3" w:rsidRDefault="00B14D5A" w:rsidP="00B14D5A">
      <w:pPr>
        <w:rPr>
          <w:b/>
          <w:bCs/>
          <w:sz w:val="22"/>
          <w:szCs w:val="22"/>
          <w:lang w:val="en-GB"/>
        </w:rPr>
      </w:pPr>
    </w:p>
    <w:p w14:paraId="6AD63615" w14:textId="544F3783" w:rsidR="00B14D5A" w:rsidRPr="007242C3" w:rsidRDefault="00B14D5A" w:rsidP="00B14D5A">
      <w:pPr>
        <w:keepNext/>
        <w:tabs>
          <w:tab w:val="left" w:pos="1134"/>
          <w:tab w:val="left" w:pos="1871"/>
          <w:tab w:val="left" w:pos="2268"/>
        </w:tabs>
        <w:overflowPunct w:val="0"/>
        <w:autoSpaceDE w:val="0"/>
        <w:autoSpaceDN w:val="0"/>
        <w:adjustRightInd w:val="0"/>
        <w:spacing w:before="240"/>
        <w:textAlignment w:val="baseline"/>
        <w:rPr>
          <w:b/>
          <w:sz w:val="22"/>
          <w:szCs w:val="22"/>
          <w:lang w:val="en-GB"/>
        </w:rPr>
      </w:pPr>
      <w:r w:rsidRPr="007242C3">
        <w:rPr>
          <w:b/>
          <w:sz w:val="22"/>
          <w:szCs w:val="22"/>
          <w:u w:val="single"/>
          <w:lang w:val="en-GB"/>
        </w:rPr>
        <w:t>NOC</w:t>
      </w:r>
      <w:r w:rsidRPr="007242C3">
        <w:rPr>
          <w:b/>
          <w:sz w:val="22"/>
          <w:szCs w:val="22"/>
          <w:lang w:val="en-GB"/>
        </w:rPr>
        <w:tab/>
        <w:t>USA/</w:t>
      </w:r>
      <w:r w:rsidR="0046035C" w:rsidRPr="007242C3">
        <w:rPr>
          <w:rFonts w:eastAsia="Calibri"/>
          <w:b/>
          <w:bCs/>
          <w:sz w:val="22"/>
          <w:szCs w:val="22"/>
        </w:rPr>
        <w:t>9.2</w:t>
      </w:r>
      <w:r w:rsidRPr="007242C3">
        <w:rPr>
          <w:b/>
          <w:sz w:val="22"/>
          <w:szCs w:val="22"/>
          <w:lang w:val="en-GB"/>
        </w:rPr>
        <w:t>/</w:t>
      </w:r>
      <w:r w:rsidR="00D02140" w:rsidRPr="007242C3">
        <w:rPr>
          <w:b/>
          <w:sz w:val="22"/>
          <w:szCs w:val="22"/>
          <w:lang w:val="en-GB"/>
        </w:rPr>
        <w:t>1</w:t>
      </w:r>
    </w:p>
    <w:p w14:paraId="36E5A676" w14:textId="4FDEAF11" w:rsidR="00B14D5A" w:rsidRPr="007242C3" w:rsidRDefault="00B14D5A" w:rsidP="00B14D5A">
      <w:pPr>
        <w:tabs>
          <w:tab w:val="left" w:pos="1134"/>
          <w:tab w:val="left" w:pos="1871"/>
          <w:tab w:val="left" w:pos="2268"/>
        </w:tabs>
        <w:overflowPunct w:val="0"/>
        <w:autoSpaceDE w:val="0"/>
        <w:autoSpaceDN w:val="0"/>
        <w:adjustRightInd w:val="0"/>
        <w:spacing w:before="120"/>
        <w:jc w:val="center"/>
        <w:textAlignment w:val="baseline"/>
        <w:rPr>
          <w:b/>
          <w:bCs/>
          <w:sz w:val="22"/>
          <w:szCs w:val="22"/>
          <w:lang w:val="en-GB"/>
        </w:rPr>
      </w:pPr>
      <w:bookmarkStart w:id="1" w:name="_Toc451865278"/>
      <w:bookmarkStart w:id="2" w:name="_Toc42842370"/>
      <w:r w:rsidRPr="007242C3">
        <w:rPr>
          <w:b/>
          <w:bCs/>
          <w:sz w:val="22"/>
          <w:szCs w:val="22"/>
          <w:lang w:val="en-GB"/>
        </w:rPr>
        <w:t>ARTICLES</w:t>
      </w:r>
      <w:bookmarkEnd w:id="1"/>
      <w:bookmarkEnd w:id="2"/>
    </w:p>
    <w:p w14:paraId="232FC6D3" w14:textId="2CEEF439" w:rsidR="00B14D5A" w:rsidRPr="007242C3" w:rsidRDefault="00B14D5A" w:rsidP="00B14D5A">
      <w:pPr>
        <w:tabs>
          <w:tab w:val="left" w:pos="1134"/>
          <w:tab w:val="left" w:pos="1588"/>
          <w:tab w:val="left" w:pos="1985"/>
        </w:tabs>
        <w:overflowPunct w:val="0"/>
        <w:autoSpaceDE w:val="0"/>
        <w:autoSpaceDN w:val="0"/>
        <w:adjustRightInd w:val="0"/>
        <w:spacing w:before="120"/>
        <w:textAlignment w:val="baseline"/>
        <w:rPr>
          <w:b/>
          <w:sz w:val="22"/>
          <w:szCs w:val="22"/>
          <w:lang w:val="en-GB"/>
        </w:rPr>
      </w:pPr>
    </w:p>
    <w:p w14:paraId="7AEB4AD7" w14:textId="03608FC1" w:rsidR="00B14D5A" w:rsidRPr="007242C3" w:rsidRDefault="00B14D5A" w:rsidP="000C731E">
      <w:pPr>
        <w:tabs>
          <w:tab w:val="left" w:pos="1134"/>
          <w:tab w:val="left" w:pos="1588"/>
          <w:tab w:val="left" w:pos="1985"/>
        </w:tabs>
        <w:overflowPunct w:val="0"/>
        <w:autoSpaceDE w:val="0"/>
        <w:autoSpaceDN w:val="0"/>
        <w:adjustRightInd w:val="0"/>
        <w:spacing w:before="120"/>
        <w:jc w:val="both"/>
        <w:textAlignment w:val="baseline"/>
        <w:rPr>
          <w:sz w:val="22"/>
          <w:szCs w:val="22"/>
          <w:lang w:val="en-GB"/>
        </w:rPr>
      </w:pPr>
      <w:r w:rsidRPr="007242C3">
        <w:rPr>
          <w:b/>
          <w:sz w:val="22"/>
          <w:szCs w:val="22"/>
          <w:lang w:val="en-GB"/>
        </w:rPr>
        <w:t>Reasons:</w:t>
      </w:r>
      <w:r w:rsidRPr="007242C3">
        <w:rPr>
          <w:sz w:val="22"/>
          <w:szCs w:val="22"/>
          <w:lang w:val="en-GB"/>
        </w:rPr>
        <w:tab/>
        <w:t xml:space="preserve">No changes to the Radio Regulations are necessary to address the verification of No. </w:t>
      </w:r>
      <w:r w:rsidRPr="007242C3">
        <w:rPr>
          <w:b/>
          <w:bCs/>
          <w:sz w:val="22"/>
          <w:szCs w:val="22"/>
          <w:lang w:val="en-GB"/>
        </w:rPr>
        <w:t>21.5</w:t>
      </w:r>
      <w:r w:rsidRPr="007242C3">
        <w:rPr>
          <w:sz w:val="22"/>
          <w:szCs w:val="22"/>
          <w:lang w:val="en-GB"/>
        </w:rPr>
        <w:t xml:space="preserve"> for the notification of IMT stations operating within the 24.45-27.5 GHz frequency range which use an antenna that consists of an array of active elements.</w:t>
      </w:r>
    </w:p>
    <w:p w14:paraId="2FA3112B" w14:textId="2A779BA8" w:rsidR="00B14D5A" w:rsidRPr="007242C3" w:rsidRDefault="00B14D5A" w:rsidP="00B14D5A">
      <w:pPr>
        <w:rPr>
          <w:b/>
          <w:bCs/>
          <w:sz w:val="22"/>
          <w:szCs w:val="22"/>
          <w:lang w:val="en-GB"/>
        </w:rPr>
      </w:pPr>
    </w:p>
    <w:p w14:paraId="1DD66A3A" w14:textId="499B4CE1" w:rsidR="00B14D5A" w:rsidRPr="007242C3" w:rsidRDefault="00B14D5A" w:rsidP="00B14D5A">
      <w:pPr>
        <w:rPr>
          <w:b/>
          <w:bCs/>
          <w:sz w:val="22"/>
          <w:szCs w:val="22"/>
          <w:lang w:val="en-GB"/>
        </w:rPr>
      </w:pPr>
    </w:p>
    <w:p w14:paraId="45B5F11C" w14:textId="4745AE4F" w:rsidR="00B14D5A" w:rsidRPr="007242C3" w:rsidRDefault="00B14D5A" w:rsidP="00B14D5A">
      <w:pPr>
        <w:keepNext/>
        <w:keepLines/>
        <w:tabs>
          <w:tab w:val="left" w:pos="1134"/>
          <w:tab w:val="left" w:pos="1871"/>
          <w:tab w:val="left" w:pos="2268"/>
        </w:tabs>
        <w:overflowPunct w:val="0"/>
        <w:autoSpaceDE w:val="0"/>
        <w:autoSpaceDN w:val="0"/>
        <w:adjustRightInd w:val="0"/>
        <w:jc w:val="center"/>
        <w:textAlignment w:val="baseline"/>
        <w:rPr>
          <w:caps/>
          <w:sz w:val="22"/>
          <w:szCs w:val="22"/>
          <w:lang w:val="en-GB"/>
        </w:rPr>
      </w:pPr>
      <w:bookmarkStart w:id="3" w:name="_Toc42842422"/>
      <w:r w:rsidRPr="007242C3">
        <w:rPr>
          <w:caps/>
          <w:sz w:val="22"/>
          <w:szCs w:val="22"/>
          <w:lang w:val="en-GB"/>
        </w:rPr>
        <w:t>ARTICLE 21</w:t>
      </w:r>
      <w:bookmarkEnd w:id="3"/>
    </w:p>
    <w:p w14:paraId="6FEFA84B" w14:textId="7ECE1C13" w:rsidR="00B14D5A" w:rsidRPr="007242C3" w:rsidRDefault="00B14D5A" w:rsidP="00B14D5A">
      <w:pPr>
        <w:keepNext/>
        <w:keepLines/>
        <w:tabs>
          <w:tab w:val="left" w:pos="1134"/>
          <w:tab w:val="left" w:pos="1871"/>
          <w:tab w:val="left" w:pos="2268"/>
        </w:tabs>
        <w:overflowPunct w:val="0"/>
        <w:autoSpaceDE w:val="0"/>
        <w:autoSpaceDN w:val="0"/>
        <w:adjustRightInd w:val="0"/>
        <w:spacing w:before="240"/>
        <w:jc w:val="center"/>
        <w:textAlignment w:val="baseline"/>
        <w:rPr>
          <w:b/>
          <w:sz w:val="22"/>
          <w:szCs w:val="22"/>
          <w:lang w:val="en-GB"/>
        </w:rPr>
      </w:pPr>
      <w:bookmarkStart w:id="4" w:name="_Toc327956622"/>
      <w:bookmarkStart w:id="5" w:name="_Toc42842423"/>
      <w:r w:rsidRPr="007242C3">
        <w:rPr>
          <w:b/>
          <w:sz w:val="22"/>
          <w:szCs w:val="22"/>
          <w:lang w:val="en-GB"/>
        </w:rPr>
        <w:t>Terrestrial and space services sharing frequency bands above 1 </w:t>
      </w:r>
      <w:proofErr w:type="gramStart"/>
      <w:r w:rsidRPr="007242C3">
        <w:rPr>
          <w:b/>
          <w:sz w:val="22"/>
          <w:szCs w:val="22"/>
          <w:lang w:val="en-GB"/>
        </w:rPr>
        <w:t>GHz</w:t>
      </w:r>
      <w:bookmarkEnd w:id="4"/>
      <w:bookmarkEnd w:id="5"/>
      <w:proofErr w:type="gramEnd"/>
    </w:p>
    <w:p w14:paraId="58183F61" w14:textId="656C724D" w:rsidR="00B14D5A" w:rsidRPr="007242C3" w:rsidRDefault="00B14D5A" w:rsidP="00B14D5A">
      <w:pPr>
        <w:keepNext/>
        <w:tabs>
          <w:tab w:val="center" w:pos="4820"/>
        </w:tabs>
        <w:overflowPunct w:val="0"/>
        <w:autoSpaceDE w:val="0"/>
        <w:autoSpaceDN w:val="0"/>
        <w:adjustRightInd w:val="0"/>
        <w:spacing w:before="360"/>
        <w:jc w:val="center"/>
        <w:textAlignment w:val="baseline"/>
        <w:rPr>
          <w:b/>
          <w:sz w:val="22"/>
          <w:szCs w:val="22"/>
          <w:lang w:val="en-GB"/>
        </w:rPr>
      </w:pPr>
      <w:r w:rsidRPr="007242C3">
        <w:rPr>
          <w:b/>
          <w:sz w:val="22"/>
          <w:szCs w:val="22"/>
          <w:lang w:val="en-GB"/>
        </w:rPr>
        <w:t>Section II − Power limits for terrestrial stations</w:t>
      </w:r>
    </w:p>
    <w:p w14:paraId="35444913" w14:textId="34ED8770" w:rsidR="00B14D5A" w:rsidRPr="007242C3" w:rsidRDefault="00B14D5A" w:rsidP="00B14D5A">
      <w:pPr>
        <w:keepNext/>
        <w:tabs>
          <w:tab w:val="left" w:pos="1134"/>
          <w:tab w:val="left" w:pos="1871"/>
          <w:tab w:val="left" w:pos="2268"/>
        </w:tabs>
        <w:overflowPunct w:val="0"/>
        <w:autoSpaceDE w:val="0"/>
        <w:autoSpaceDN w:val="0"/>
        <w:adjustRightInd w:val="0"/>
        <w:spacing w:before="240"/>
        <w:textAlignment w:val="baseline"/>
        <w:rPr>
          <w:b/>
          <w:sz w:val="22"/>
          <w:szCs w:val="22"/>
          <w:lang w:val="en-GB"/>
        </w:rPr>
      </w:pPr>
      <w:r w:rsidRPr="007242C3">
        <w:rPr>
          <w:b/>
          <w:sz w:val="22"/>
          <w:szCs w:val="22"/>
          <w:u w:val="single"/>
          <w:lang w:val="en-GB"/>
        </w:rPr>
        <w:t>NOC</w:t>
      </w:r>
      <w:r w:rsidRPr="007242C3">
        <w:rPr>
          <w:b/>
          <w:sz w:val="22"/>
          <w:szCs w:val="22"/>
          <w:lang w:val="en-GB"/>
        </w:rPr>
        <w:tab/>
        <w:t>USA/</w:t>
      </w:r>
      <w:r w:rsidR="0046035C" w:rsidRPr="007242C3">
        <w:rPr>
          <w:rFonts w:eastAsia="Calibri"/>
          <w:b/>
          <w:bCs/>
          <w:sz w:val="22"/>
          <w:szCs w:val="22"/>
        </w:rPr>
        <w:t>9.2</w:t>
      </w:r>
      <w:r w:rsidRPr="007242C3">
        <w:rPr>
          <w:b/>
          <w:sz w:val="22"/>
          <w:szCs w:val="22"/>
          <w:lang w:val="en-GB"/>
        </w:rPr>
        <w:t>/</w:t>
      </w:r>
      <w:r w:rsidR="00D02140" w:rsidRPr="007242C3">
        <w:rPr>
          <w:b/>
          <w:sz w:val="22"/>
          <w:szCs w:val="22"/>
          <w:lang w:val="en-GB"/>
        </w:rPr>
        <w:t>2</w:t>
      </w:r>
    </w:p>
    <w:p w14:paraId="17B439C4" w14:textId="1D7165D9" w:rsidR="00B14D5A" w:rsidRPr="007242C3" w:rsidRDefault="00B14D5A" w:rsidP="000C731E">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7242C3">
        <w:rPr>
          <w:b/>
          <w:sz w:val="22"/>
          <w:szCs w:val="22"/>
          <w:lang w:val="en-GB"/>
        </w:rPr>
        <w:t>21.5</w:t>
      </w:r>
      <w:r w:rsidRPr="007242C3">
        <w:rPr>
          <w:sz w:val="22"/>
          <w:szCs w:val="22"/>
          <w:lang w:val="en-GB"/>
        </w:rPr>
        <w:tab/>
      </w:r>
      <w:r w:rsidRPr="007242C3">
        <w:rPr>
          <w:sz w:val="22"/>
          <w:szCs w:val="22"/>
          <w:lang w:val="en-GB"/>
        </w:rPr>
        <w:tab/>
        <w:t>3)</w:t>
      </w:r>
      <w:r w:rsidRPr="007242C3">
        <w:rPr>
          <w:sz w:val="22"/>
          <w:szCs w:val="22"/>
          <w:lang w:val="en-GB"/>
        </w:rPr>
        <w:tab/>
        <w:t>The power delivered by a transmitter to the antenna of a station in the fixed or mobile services shall not exceed +13 </w:t>
      </w:r>
      <w:proofErr w:type="spellStart"/>
      <w:r w:rsidRPr="007242C3">
        <w:rPr>
          <w:sz w:val="22"/>
          <w:szCs w:val="22"/>
          <w:lang w:val="en-GB"/>
        </w:rPr>
        <w:t>dBW</w:t>
      </w:r>
      <w:proofErr w:type="spellEnd"/>
      <w:r w:rsidRPr="007242C3">
        <w:rPr>
          <w:sz w:val="22"/>
          <w:szCs w:val="22"/>
          <w:lang w:val="en-GB"/>
        </w:rPr>
        <w:t xml:space="preserve"> in frequency bands between 1 GHz and 10 GHz, or +10 </w:t>
      </w:r>
      <w:proofErr w:type="spellStart"/>
      <w:r w:rsidRPr="007242C3">
        <w:rPr>
          <w:sz w:val="22"/>
          <w:szCs w:val="22"/>
          <w:lang w:val="en-GB"/>
        </w:rPr>
        <w:t>dBW</w:t>
      </w:r>
      <w:proofErr w:type="spellEnd"/>
      <w:r w:rsidRPr="007242C3">
        <w:rPr>
          <w:sz w:val="22"/>
          <w:szCs w:val="22"/>
          <w:lang w:val="en-GB"/>
        </w:rPr>
        <w:t xml:space="preserve"> in frequency bands above 10 GHz, except as cited in No. </w:t>
      </w:r>
      <w:r w:rsidRPr="007242C3">
        <w:rPr>
          <w:b/>
          <w:sz w:val="22"/>
          <w:szCs w:val="22"/>
          <w:lang w:val="en-GB"/>
        </w:rPr>
        <w:t>21.5A</w:t>
      </w:r>
      <w:r w:rsidRPr="007242C3">
        <w:rPr>
          <w:sz w:val="22"/>
          <w:szCs w:val="22"/>
          <w:lang w:val="en-GB"/>
        </w:rPr>
        <w:t>.    (WRC</w:t>
      </w:r>
      <w:r w:rsidRPr="007242C3">
        <w:rPr>
          <w:sz w:val="22"/>
          <w:szCs w:val="22"/>
          <w:lang w:val="en-GB"/>
        </w:rPr>
        <w:noBreakHyphen/>
        <w:t>2000)</w:t>
      </w:r>
    </w:p>
    <w:p w14:paraId="7818E233" w14:textId="1E6F9383" w:rsidR="00B14D5A" w:rsidRPr="007242C3" w:rsidRDefault="00B14D5A" w:rsidP="000C731E">
      <w:pPr>
        <w:tabs>
          <w:tab w:val="left" w:pos="1134"/>
          <w:tab w:val="left" w:pos="1871"/>
          <w:tab w:val="left" w:pos="2268"/>
        </w:tabs>
        <w:overflowPunct w:val="0"/>
        <w:autoSpaceDE w:val="0"/>
        <w:autoSpaceDN w:val="0"/>
        <w:adjustRightInd w:val="0"/>
        <w:spacing w:before="120"/>
        <w:jc w:val="both"/>
        <w:textAlignment w:val="baseline"/>
        <w:rPr>
          <w:rFonts w:eastAsia="SimSun"/>
          <w:sz w:val="22"/>
          <w:szCs w:val="22"/>
          <w:lang w:val="en-GB" w:eastAsia="ja-JP"/>
        </w:rPr>
      </w:pPr>
      <w:r w:rsidRPr="007242C3">
        <w:rPr>
          <w:b/>
          <w:sz w:val="22"/>
          <w:szCs w:val="22"/>
          <w:lang w:val="en-GB"/>
        </w:rPr>
        <w:t>Reasons:</w:t>
      </w:r>
      <w:r w:rsidRPr="007242C3">
        <w:rPr>
          <w:sz w:val="22"/>
          <w:szCs w:val="22"/>
          <w:lang w:val="en-GB"/>
        </w:rPr>
        <w:tab/>
        <w:t xml:space="preserve">Current BR guidelines for notification of terrestrial stations apply.  </w:t>
      </w:r>
      <w:r w:rsidRPr="007242C3">
        <w:rPr>
          <w:rFonts w:eastAsia="SimSun"/>
          <w:sz w:val="22"/>
          <w:szCs w:val="22"/>
          <w:lang w:val="en-GB"/>
        </w:rPr>
        <w:t xml:space="preserve">Regarding the notification of IMT stations which use an antenna consisting of an array of active elements, , </w:t>
      </w:r>
      <w:r w:rsidRPr="007242C3">
        <w:rPr>
          <w:rFonts w:eastAsia="SimSun"/>
          <w:sz w:val="22"/>
          <w:szCs w:val="22"/>
          <w:lang w:val="en-GB" w:eastAsia="en-GB"/>
        </w:rPr>
        <w:t>Administrations should provide the radiated power (</w:t>
      </w:r>
      <w:r w:rsidRPr="007242C3">
        <w:rPr>
          <w:sz w:val="22"/>
          <w:szCs w:val="22"/>
          <w:lang w:eastAsia="ja-JP"/>
        </w:rPr>
        <w:t>Item identifier</w:t>
      </w:r>
      <w:r w:rsidRPr="007242C3">
        <w:rPr>
          <w:rFonts w:eastAsia="SimSun"/>
          <w:sz w:val="22"/>
          <w:szCs w:val="22"/>
          <w:lang w:val="en-GB" w:eastAsia="en-GB"/>
        </w:rPr>
        <w:t xml:space="preserve"> 8B </w:t>
      </w:r>
      <w:r w:rsidRPr="007242C3">
        <w:rPr>
          <w:rFonts w:eastAsia="SimSun"/>
          <w:sz w:val="22"/>
          <w:szCs w:val="22"/>
          <w:lang w:val="en-GB" w:eastAsia="ja-JP"/>
        </w:rPr>
        <w:t xml:space="preserve">of </w:t>
      </w:r>
      <w:r w:rsidRPr="007242C3">
        <w:rPr>
          <w:rFonts w:eastAsia="SimSun"/>
          <w:sz w:val="22"/>
          <w:szCs w:val="22"/>
          <w:lang w:val="en-GB" w:eastAsia="en-GB"/>
        </w:rPr>
        <w:t xml:space="preserve">RR </w:t>
      </w:r>
      <w:r w:rsidRPr="007242C3">
        <w:rPr>
          <w:rFonts w:eastAsia="SimSun"/>
          <w:sz w:val="22"/>
          <w:szCs w:val="22"/>
          <w:lang w:val="en-GB" w:eastAsia="ja-JP"/>
        </w:rPr>
        <w:t xml:space="preserve">Appendix </w:t>
      </w:r>
      <w:r w:rsidRPr="007242C3">
        <w:rPr>
          <w:rFonts w:eastAsia="SimSun"/>
          <w:b/>
          <w:bCs/>
          <w:sz w:val="22"/>
          <w:szCs w:val="22"/>
          <w:lang w:val="en-GB" w:eastAsia="ja-JP"/>
        </w:rPr>
        <w:t>4</w:t>
      </w:r>
      <w:r w:rsidRPr="007242C3">
        <w:rPr>
          <w:rFonts w:eastAsia="SimSun"/>
          <w:sz w:val="22"/>
          <w:szCs w:val="22"/>
          <w:lang w:val="en-GB" w:eastAsia="en-GB"/>
        </w:rPr>
        <w:t xml:space="preserve">) in the </w:t>
      </w:r>
      <w:r w:rsidRPr="007242C3">
        <w:rPr>
          <w:rFonts w:eastAsia="SimSun"/>
          <w:sz w:val="22"/>
          <w:szCs w:val="22"/>
          <w:lang w:val="en-GB" w:eastAsia="en-GB"/>
        </w:rPr>
        <w:lastRenderedPageBreak/>
        <w:t xml:space="preserve">application of RR No. </w:t>
      </w:r>
      <w:r w:rsidRPr="007242C3">
        <w:rPr>
          <w:rFonts w:eastAsia="SimSun"/>
          <w:b/>
          <w:bCs/>
          <w:sz w:val="22"/>
          <w:szCs w:val="22"/>
          <w:lang w:val="en-GB" w:eastAsia="en-GB"/>
        </w:rPr>
        <w:t xml:space="preserve">21.3 </w:t>
      </w:r>
      <w:r w:rsidRPr="007242C3">
        <w:rPr>
          <w:rFonts w:eastAsia="SimSun"/>
          <w:sz w:val="22"/>
          <w:szCs w:val="22"/>
          <w:lang w:val="en-GB" w:eastAsia="en-GB"/>
        </w:rPr>
        <w:t xml:space="preserve">for the band 24.45-27.5 GHz, which is shown as mandatory data item in RR Appendix </w:t>
      </w:r>
      <w:r w:rsidRPr="007242C3">
        <w:rPr>
          <w:rFonts w:eastAsia="SimSun"/>
          <w:b/>
          <w:bCs/>
          <w:sz w:val="22"/>
          <w:szCs w:val="22"/>
          <w:lang w:val="en-GB" w:eastAsia="en-GB"/>
        </w:rPr>
        <w:t>4</w:t>
      </w:r>
      <w:r w:rsidRPr="007242C3">
        <w:rPr>
          <w:rFonts w:eastAsia="SimSun"/>
          <w:sz w:val="22"/>
          <w:szCs w:val="22"/>
          <w:lang w:val="en-GB" w:eastAsia="en-GB"/>
        </w:rPr>
        <w:t xml:space="preserve">, as well as the </w:t>
      </w:r>
      <w:r w:rsidRPr="007242C3">
        <w:rPr>
          <w:rFonts w:eastAsia="SimSun"/>
          <w:sz w:val="22"/>
          <w:szCs w:val="22"/>
          <w:lang w:val="en-GB" w:eastAsia="ja-JP"/>
        </w:rPr>
        <w:t xml:space="preserve">conducted output power </w:t>
      </w:r>
      <w:r w:rsidRPr="007242C3">
        <w:rPr>
          <w:rFonts w:eastAsia="SimSun"/>
          <w:spacing w:val="-2"/>
          <w:sz w:val="22"/>
          <w:szCs w:val="22"/>
          <w:lang w:val="en-GB" w:eastAsia="ja-JP"/>
        </w:rPr>
        <w:t xml:space="preserve">delivered by each and every </w:t>
      </w:r>
      <w:r w:rsidRPr="007242C3">
        <w:rPr>
          <w:rFonts w:eastAsia="SimSun"/>
          <w:spacing w:val="-2"/>
          <w:sz w:val="22"/>
          <w:szCs w:val="22"/>
          <w:lang w:val="en-GB"/>
        </w:rPr>
        <w:t>transmitter</w:t>
      </w:r>
      <w:r w:rsidRPr="007242C3">
        <w:rPr>
          <w:rFonts w:eastAsia="SimSun"/>
          <w:spacing w:val="-2"/>
          <w:sz w:val="22"/>
          <w:szCs w:val="22"/>
          <w:lang w:val="en-GB" w:eastAsia="ja-JP"/>
        </w:rPr>
        <w:t xml:space="preserve"> to the antenna of the station (Item identifier 8AA of </w:t>
      </w:r>
      <w:r w:rsidRPr="007242C3">
        <w:rPr>
          <w:rFonts w:eastAsia="SimSun"/>
          <w:spacing w:val="-2"/>
          <w:sz w:val="22"/>
          <w:szCs w:val="22"/>
          <w:lang w:val="en-GB" w:eastAsia="en-GB"/>
        </w:rPr>
        <w:t xml:space="preserve">RR </w:t>
      </w:r>
      <w:r w:rsidRPr="007242C3">
        <w:rPr>
          <w:rFonts w:eastAsia="SimSun"/>
          <w:spacing w:val="-2"/>
          <w:sz w:val="22"/>
          <w:szCs w:val="22"/>
          <w:lang w:val="en-GB" w:eastAsia="ja-JP"/>
        </w:rPr>
        <w:t xml:space="preserve">Appendix </w:t>
      </w:r>
      <w:r w:rsidRPr="007242C3">
        <w:rPr>
          <w:rFonts w:eastAsia="SimSun"/>
          <w:b/>
          <w:bCs/>
          <w:spacing w:val="-2"/>
          <w:sz w:val="22"/>
          <w:szCs w:val="22"/>
          <w:lang w:val="en-GB" w:eastAsia="ja-JP"/>
        </w:rPr>
        <w:t xml:space="preserve">4) </w:t>
      </w:r>
      <w:r w:rsidRPr="007242C3">
        <w:rPr>
          <w:rFonts w:eastAsia="SimSun"/>
          <w:spacing w:val="-2"/>
          <w:sz w:val="22"/>
          <w:szCs w:val="22"/>
          <w:lang w:val="en-GB" w:eastAsia="ja-JP"/>
        </w:rPr>
        <w:t>irrespective of the number of elements comprising the antenna fed by each transmitter.</w:t>
      </w:r>
      <w:r w:rsidRPr="007242C3">
        <w:rPr>
          <w:rFonts w:eastAsia="SimSun"/>
          <w:sz w:val="22"/>
          <w:szCs w:val="22"/>
          <w:highlight w:val="yellow"/>
          <w:lang w:val="en-GB" w:eastAsia="ja-JP"/>
        </w:rPr>
        <w:t xml:space="preserve"> </w:t>
      </w:r>
    </w:p>
    <w:p w14:paraId="6DAAC219" w14:textId="397AD0E5" w:rsidR="00B14D5A" w:rsidRPr="007242C3" w:rsidRDefault="00B14D5A" w:rsidP="000C731E">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p>
    <w:p w14:paraId="4AE537C9" w14:textId="37ACC5E5" w:rsidR="00B14D5A" w:rsidRPr="007242C3" w:rsidRDefault="00B14D5A" w:rsidP="00B14D5A">
      <w:pPr>
        <w:tabs>
          <w:tab w:val="left" w:pos="1134"/>
          <w:tab w:val="left" w:pos="1588"/>
          <w:tab w:val="left" w:pos="1985"/>
        </w:tabs>
        <w:overflowPunct w:val="0"/>
        <w:autoSpaceDE w:val="0"/>
        <w:autoSpaceDN w:val="0"/>
        <w:adjustRightInd w:val="0"/>
        <w:spacing w:before="120"/>
        <w:textAlignment w:val="baseline"/>
        <w:rPr>
          <w:sz w:val="22"/>
          <w:szCs w:val="22"/>
          <w:lang w:val="en-GB"/>
        </w:rPr>
      </w:pPr>
    </w:p>
    <w:p w14:paraId="5699F9DA" w14:textId="6565159F" w:rsidR="00B14D5A" w:rsidRPr="007242C3" w:rsidRDefault="00B14D5A" w:rsidP="00B14D5A">
      <w:pPr>
        <w:keepNext/>
        <w:tabs>
          <w:tab w:val="left" w:pos="1134"/>
          <w:tab w:val="left" w:pos="1871"/>
          <w:tab w:val="left" w:pos="2268"/>
        </w:tabs>
        <w:overflowPunct w:val="0"/>
        <w:autoSpaceDE w:val="0"/>
        <w:autoSpaceDN w:val="0"/>
        <w:adjustRightInd w:val="0"/>
        <w:spacing w:before="240"/>
        <w:textAlignment w:val="baseline"/>
        <w:rPr>
          <w:b/>
          <w:sz w:val="22"/>
          <w:szCs w:val="22"/>
          <w:u w:val="single"/>
          <w:lang w:val="en-GB"/>
        </w:rPr>
      </w:pPr>
      <w:r w:rsidRPr="007242C3">
        <w:rPr>
          <w:b/>
          <w:sz w:val="22"/>
          <w:szCs w:val="22"/>
          <w:u w:val="single"/>
          <w:lang w:val="en-GB"/>
        </w:rPr>
        <w:t>NOC</w:t>
      </w:r>
      <w:r w:rsidR="005A761A" w:rsidRPr="007242C3">
        <w:rPr>
          <w:b/>
          <w:sz w:val="22"/>
          <w:szCs w:val="22"/>
          <w:lang w:val="en-GB"/>
        </w:rPr>
        <w:tab/>
      </w:r>
      <w:r w:rsidRPr="007242C3">
        <w:rPr>
          <w:b/>
          <w:sz w:val="22"/>
          <w:szCs w:val="22"/>
          <w:lang w:val="en-GB"/>
        </w:rPr>
        <w:t>USA/</w:t>
      </w:r>
      <w:r w:rsidR="0046035C" w:rsidRPr="007242C3">
        <w:rPr>
          <w:rFonts w:eastAsia="Calibri"/>
          <w:b/>
          <w:bCs/>
          <w:sz w:val="22"/>
          <w:szCs w:val="22"/>
        </w:rPr>
        <w:t>9.2</w:t>
      </w:r>
      <w:r w:rsidRPr="007242C3">
        <w:rPr>
          <w:b/>
          <w:sz w:val="22"/>
          <w:szCs w:val="22"/>
          <w:lang w:val="en-GB"/>
        </w:rPr>
        <w:t>/</w:t>
      </w:r>
      <w:r w:rsidR="00B801F7" w:rsidRPr="007242C3">
        <w:rPr>
          <w:b/>
          <w:sz w:val="22"/>
          <w:szCs w:val="22"/>
          <w:lang w:val="en-GB"/>
        </w:rPr>
        <w:t>3</w:t>
      </w:r>
    </w:p>
    <w:p w14:paraId="6C13063F" w14:textId="07B5AA96" w:rsidR="00B14D5A" w:rsidRPr="007242C3" w:rsidRDefault="00B14D5A" w:rsidP="00B14D5A">
      <w:pPr>
        <w:keepNext/>
        <w:tabs>
          <w:tab w:val="left" w:pos="1134"/>
          <w:tab w:val="left" w:pos="1871"/>
          <w:tab w:val="left" w:pos="2268"/>
        </w:tabs>
        <w:overflowPunct w:val="0"/>
        <w:autoSpaceDE w:val="0"/>
        <w:autoSpaceDN w:val="0"/>
        <w:adjustRightInd w:val="0"/>
        <w:spacing w:before="360" w:after="120"/>
        <w:jc w:val="center"/>
        <w:textAlignment w:val="baseline"/>
        <w:rPr>
          <w:caps/>
          <w:sz w:val="22"/>
          <w:szCs w:val="22"/>
          <w:lang w:val="en-GB"/>
        </w:rPr>
      </w:pPr>
      <w:r w:rsidRPr="007242C3">
        <w:rPr>
          <w:caps/>
          <w:sz w:val="22"/>
          <w:szCs w:val="22"/>
          <w:lang w:val="en-GB"/>
        </w:rPr>
        <w:t xml:space="preserve">TABLE  </w:t>
      </w:r>
      <w:r w:rsidRPr="007242C3">
        <w:rPr>
          <w:b/>
          <w:bCs/>
          <w:caps/>
          <w:sz w:val="22"/>
          <w:szCs w:val="22"/>
          <w:lang w:val="en-GB"/>
        </w:rPr>
        <w:t>21-2</w:t>
      </w:r>
      <w:r w:rsidRPr="007242C3">
        <w:rPr>
          <w:caps/>
          <w:sz w:val="22"/>
          <w:szCs w:val="22"/>
          <w:lang w:val="en-GB"/>
        </w:rPr>
        <w:t>  </w:t>
      </w:r>
      <w:proofErr w:type="gramStart"/>
      <w:r w:rsidRPr="007242C3">
        <w:rPr>
          <w:caps/>
          <w:sz w:val="22"/>
          <w:szCs w:val="22"/>
          <w:lang w:val="en-GB"/>
        </w:rPr>
        <w:t>   (</w:t>
      </w:r>
      <w:proofErr w:type="gramEnd"/>
      <w:r w:rsidRPr="007242C3">
        <w:rPr>
          <w:sz w:val="22"/>
          <w:szCs w:val="22"/>
          <w:lang w:val="en-GB"/>
        </w:rPr>
        <w:t>Rev</w:t>
      </w:r>
      <w:r w:rsidRPr="007242C3">
        <w:rPr>
          <w:caps/>
          <w:sz w:val="22"/>
          <w:szCs w:val="22"/>
          <w:lang w:val="en-GB"/>
        </w:rPr>
        <w:t>.WRC</w:t>
      </w:r>
      <w:r w:rsidRPr="007242C3">
        <w:rPr>
          <w:caps/>
          <w:sz w:val="22"/>
          <w:szCs w:val="22"/>
          <w:lang w:val="en-GB"/>
        </w:rPr>
        <w:noBreakHyphen/>
        <w:t>19)</w:t>
      </w:r>
    </w:p>
    <w:tbl>
      <w:tblPr>
        <w:tblW w:w="93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60"/>
        <w:gridCol w:w="2905"/>
        <w:gridCol w:w="2035"/>
      </w:tblGrid>
      <w:tr w:rsidR="00B14D5A" w:rsidRPr="007242C3" w14:paraId="42BB9A15" w14:textId="184730F5" w:rsidTr="005A6B4B">
        <w:trPr>
          <w:cantSplit/>
          <w:trHeight w:val="20"/>
          <w:jc w:val="center"/>
        </w:trPr>
        <w:tc>
          <w:tcPr>
            <w:tcW w:w="4360" w:type="dxa"/>
            <w:tcBorders>
              <w:top w:val="single" w:sz="4" w:space="0" w:color="auto"/>
              <w:left w:val="single" w:sz="4" w:space="0" w:color="auto"/>
              <w:bottom w:val="single" w:sz="4" w:space="0" w:color="auto"/>
              <w:right w:val="single" w:sz="4" w:space="0" w:color="auto"/>
            </w:tcBorders>
            <w:vAlign w:val="center"/>
            <w:hideMark/>
          </w:tcPr>
          <w:p w14:paraId="30E387DD" w14:textId="32EE21B4" w:rsidR="00B14D5A" w:rsidRPr="007242C3" w:rsidRDefault="00B14D5A" w:rsidP="00B14D5A">
            <w:pPr>
              <w:keepNext/>
              <w:tabs>
                <w:tab w:val="left" w:pos="1134"/>
                <w:tab w:val="left" w:pos="1871"/>
                <w:tab w:val="left" w:pos="2268"/>
              </w:tabs>
              <w:overflowPunct w:val="0"/>
              <w:autoSpaceDE w:val="0"/>
              <w:autoSpaceDN w:val="0"/>
              <w:adjustRightInd w:val="0"/>
              <w:spacing w:before="80" w:after="80"/>
              <w:jc w:val="center"/>
              <w:textAlignment w:val="baseline"/>
              <w:rPr>
                <w:b/>
                <w:sz w:val="22"/>
                <w:szCs w:val="22"/>
                <w:lang w:val="en-GB"/>
              </w:rPr>
            </w:pPr>
            <w:r w:rsidRPr="007242C3">
              <w:rPr>
                <w:b/>
                <w:sz w:val="22"/>
                <w:szCs w:val="22"/>
                <w:lang w:val="en-GB"/>
              </w:rPr>
              <w:t>Frequency band</w:t>
            </w:r>
          </w:p>
        </w:tc>
        <w:tc>
          <w:tcPr>
            <w:tcW w:w="2905" w:type="dxa"/>
            <w:tcBorders>
              <w:top w:val="single" w:sz="4" w:space="0" w:color="auto"/>
              <w:left w:val="single" w:sz="4" w:space="0" w:color="auto"/>
              <w:bottom w:val="single" w:sz="4" w:space="0" w:color="auto"/>
              <w:right w:val="single" w:sz="4" w:space="0" w:color="auto"/>
            </w:tcBorders>
            <w:vAlign w:val="center"/>
            <w:hideMark/>
          </w:tcPr>
          <w:p w14:paraId="23DFEF32" w14:textId="4D004FEC" w:rsidR="00B14D5A" w:rsidRPr="007242C3" w:rsidRDefault="00B14D5A" w:rsidP="00B14D5A">
            <w:pPr>
              <w:keepNext/>
              <w:tabs>
                <w:tab w:val="left" w:pos="1134"/>
                <w:tab w:val="left" w:pos="1871"/>
                <w:tab w:val="left" w:pos="2268"/>
              </w:tabs>
              <w:overflowPunct w:val="0"/>
              <w:autoSpaceDE w:val="0"/>
              <w:autoSpaceDN w:val="0"/>
              <w:adjustRightInd w:val="0"/>
              <w:spacing w:before="80" w:after="80"/>
              <w:jc w:val="center"/>
              <w:textAlignment w:val="baseline"/>
              <w:rPr>
                <w:b/>
                <w:sz w:val="22"/>
                <w:szCs w:val="22"/>
                <w:lang w:val="en-GB"/>
              </w:rPr>
            </w:pPr>
            <w:r w:rsidRPr="007242C3">
              <w:rPr>
                <w:b/>
                <w:sz w:val="22"/>
                <w:szCs w:val="22"/>
                <w:lang w:val="en-GB"/>
              </w:rPr>
              <w:t>Service</w:t>
            </w:r>
          </w:p>
        </w:tc>
        <w:tc>
          <w:tcPr>
            <w:tcW w:w="2035" w:type="dxa"/>
            <w:tcBorders>
              <w:top w:val="single" w:sz="4" w:space="0" w:color="auto"/>
              <w:left w:val="single" w:sz="4" w:space="0" w:color="auto"/>
              <w:bottom w:val="single" w:sz="4" w:space="0" w:color="auto"/>
              <w:right w:val="single" w:sz="4" w:space="0" w:color="auto"/>
            </w:tcBorders>
            <w:hideMark/>
          </w:tcPr>
          <w:p w14:paraId="60E816B2" w14:textId="46788305" w:rsidR="00B14D5A" w:rsidRPr="007242C3" w:rsidRDefault="00B14D5A" w:rsidP="00B14D5A">
            <w:pPr>
              <w:keepNext/>
              <w:tabs>
                <w:tab w:val="left" w:pos="1134"/>
                <w:tab w:val="left" w:pos="1871"/>
                <w:tab w:val="left" w:pos="2268"/>
              </w:tabs>
              <w:overflowPunct w:val="0"/>
              <w:autoSpaceDE w:val="0"/>
              <w:autoSpaceDN w:val="0"/>
              <w:adjustRightInd w:val="0"/>
              <w:spacing w:before="80" w:after="80"/>
              <w:jc w:val="center"/>
              <w:textAlignment w:val="baseline"/>
              <w:rPr>
                <w:b/>
                <w:sz w:val="22"/>
                <w:szCs w:val="22"/>
                <w:lang w:val="en-GB"/>
              </w:rPr>
            </w:pPr>
            <w:r w:rsidRPr="007242C3">
              <w:rPr>
                <w:b/>
                <w:sz w:val="22"/>
                <w:szCs w:val="22"/>
                <w:lang w:val="en-GB"/>
              </w:rPr>
              <w:t>Limit as specified</w:t>
            </w:r>
            <w:r w:rsidRPr="007242C3">
              <w:rPr>
                <w:b/>
                <w:sz w:val="22"/>
                <w:szCs w:val="22"/>
                <w:lang w:val="en-GB"/>
              </w:rPr>
              <w:br/>
              <w:t>in Nos.</w:t>
            </w:r>
          </w:p>
        </w:tc>
      </w:tr>
      <w:tr w:rsidR="00B14D5A" w:rsidRPr="007242C3" w14:paraId="6B4DAD48" w14:textId="72ABF694" w:rsidTr="005A6B4B">
        <w:trPr>
          <w:cantSplit/>
          <w:trHeight w:val="20"/>
          <w:jc w:val="center"/>
        </w:trPr>
        <w:tc>
          <w:tcPr>
            <w:tcW w:w="4360" w:type="dxa"/>
            <w:tcBorders>
              <w:top w:val="single" w:sz="4" w:space="0" w:color="auto"/>
              <w:left w:val="single" w:sz="6" w:space="0" w:color="auto"/>
              <w:bottom w:val="single" w:sz="4" w:space="0" w:color="auto"/>
              <w:right w:val="single" w:sz="6" w:space="0" w:color="auto"/>
            </w:tcBorders>
            <w:hideMark/>
          </w:tcPr>
          <w:p w14:paraId="3212F54A" w14:textId="297B1682" w:rsidR="00B14D5A" w:rsidRPr="007242C3" w:rsidRDefault="00B14D5A" w:rsidP="00B14D5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2"/>
                <w:szCs w:val="22"/>
                <w:lang w:val="en-GB"/>
              </w:rPr>
            </w:pPr>
            <w:r w:rsidRPr="007242C3">
              <w:rPr>
                <w:sz w:val="22"/>
                <w:szCs w:val="22"/>
                <w:lang w:val="en-GB"/>
              </w:rPr>
              <w:t>1 427-1 429 MHz</w:t>
            </w:r>
            <w:r w:rsidRPr="007242C3">
              <w:rPr>
                <w:sz w:val="22"/>
                <w:szCs w:val="22"/>
                <w:lang w:val="en-GB"/>
              </w:rPr>
              <w:br/>
              <w:t>1 610-1 645.5 MHz (No. </w:t>
            </w:r>
            <w:r w:rsidRPr="007242C3">
              <w:rPr>
                <w:b/>
                <w:bCs/>
                <w:sz w:val="22"/>
                <w:szCs w:val="22"/>
                <w:lang w:val="en-GB"/>
              </w:rPr>
              <w:t>5.359</w:t>
            </w:r>
            <w:r w:rsidRPr="007242C3">
              <w:rPr>
                <w:sz w:val="22"/>
                <w:szCs w:val="22"/>
                <w:lang w:val="en-GB"/>
              </w:rPr>
              <w:t>)</w:t>
            </w:r>
            <w:r w:rsidRPr="007242C3">
              <w:rPr>
                <w:sz w:val="22"/>
                <w:szCs w:val="22"/>
                <w:lang w:val="en-GB"/>
              </w:rPr>
              <w:br/>
              <w:t>1 646.5-1 660 MHz (No. </w:t>
            </w:r>
            <w:r w:rsidRPr="007242C3">
              <w:rPr>
                <w:b/>
                <w:bCs/>
                <w:sz w:val="22"/>
                <w:szCs w:val="22"/>
                <w:lang w:val="en-GB"/>
              </w:rPr>
              <w:t>5.359</w:t>
            </w:r>
            <w:r w:rsidRPr="007242C3">
              <w:rPr>
                <w:sz w:val="22"/>
                <w:szCs w:val="22"/>
                <w:lang w:val="en-GB"/>
              </w:rPr>
              <w:t>)</w:t>
            </w:r>
            <w:r w:rsidRPr="007242C3">
              <w:rPr>
                <w:sz w:val="22"/>
                <w:szCs w:val="22"/>
                <w:lang w:val="en-GB"/>
              </w:rPr>
              <w:br/>
              <w:t>1 980-2 010 MHz</w:t>
            </w:r>
            <w:r w:rsidRPr="007242C3">
              <w:rPr>
                <w:sz w:val="22"/>
                <w:szCs w:val="22"/>
                <w:lang w:val="en-GB"/>
              </w:rPr>
              <w:br/>
              <w:t>2 010-2 025 MHz (Region 2)</w:t>
            </w:r>
            <w:r w:rsidRPr="007242C3">
              <w:rPr>
                <w:sz w:val="22"/>
                <w:szCs w:val="22"/>
                <w:lang w:val="en-GB"/>
              </w:rPr>
              <w:br/>
              <w:t>2 025-2 110 MHz</w:t>
            </w:r>
            <w:r w:rsidRPr="007242C3">
              <w:rPr>
                <w:sz w:val="22"/>
                <w:szCs w:val="22"/>
                <w:lang w:val="en-GB"/>
              </w:rPr>
              <w:br/>
              <w:t>2 200-2 290 MHz</w:t>
            </w:r>
            <w:r w:rsidRPr="007242C3">
              <w:rPr>
                <w:sz w:val="22"/>
                <w:szCs w:val="22"/>
                <w:lang w:val="en-GB"/>
              </w:rPr>
              <w:br/>
              <w:t xml:space="preserve">2 655-2 670 MHz </w:t>
            </w:r>
            <w:r w:rsidRPr="007242C3">
              <w:rPr>
                <w:rFonts w:eastAsiaTheme="majorEastAsia"/>
                <w:position w:val="6"/>
                <w:sz w:val="22"/>
                <w:szCs w:val="22"/>
                <w:lang w:val="en-GB"/>
              </w:rPr>
              <w:t>5</w:t>
            </w:r>
            <w:r w:rsidRPr="007242C3">
              <w:rPr>
                <w:sz w:val="22"/>
                <w:szCs w:val="22"/>
                <w:lang w:val="en-GB"/>
              </w:rPr>
              <w:t xml:space="preserve"> (Regions 2 and 3)</w:t>
            </w:r>
            <w:r w:rsidRPr="007242C3">
              <w:rPr>
                <w:sz w:val="22"/>
                <w:szCs w:val="22"/>
                <w:lang w:val="en-GB"/>
              </w:rPr>
              <w:br/>
              <w:t xml:space="preserve">2 670-2 690 MHz </w:t>
            </w:r>
            <w:r w:rsidRPr="007242C3">
              <w:rPr>
                <w:position w:val="4"/>
                <w:sz w:val="22"/>
                <w:szCs w:val="22"/>
                <w:lang w:val="en-GB"/>
              </w:rPr>
              <w:t>5</w:t>
            </w:r>
            <w:r w:rsidRPr="007242C3">
              <w:rPr>
                <w:sz w:val="22"/>
                <w:szCs w:val="22"/>
                <w:lang w:val="en-GB"/>
              </w:rPr>
              <w:t xml:space="preserve"> (Regions 2 and 3)</w:t>
            </w:r>
            <w:r w:rsidRPr="007242C3">
              <w:rPr>
                <w:sz w:val="22"/>
                <w:szCs w:val="22"/>
                <w:lang w:val="en-GB"/>
              </w:rPr>
              <w:br/>
              <w:t>5 670-5 725 MHz (Nos. </w:t>
            </w:r>
            <w:r w:rsidRPr="007242C3">
              <w:rPr>
                <w:b/>
                <w:bCs/>
                <w:sz w:val="22"/>
                <w:szCs w:val="22"/>
                <w:lang w:val="en-GB"/>
              </w:rPr>
              <w:t>5.453</w:t>
            </w:r>
            <w:r w:rsidRPr="007242C3">
              <w:rPr>
                <w:sz w:val="22"/>
                <w:szCs w:val="22"/>
                <w:lang w:val="en-GB"/>
              </w:rPr>
              <w:t xml:space="preserve"> and </w:t>
            </w:r>
            <w:r w:rsidRPr="007242C3">
              <w:rPr>
                <w:b/>
                <w:bCs/>
                <w:sz w:val="22"/>
                <w:szCs w:val="22"/>
                <w:lang w:val="en-GB"/>
              </w:rPr>
              <w:t>5.455</w:t>
            </w:r>
            <w:r w:rsidRPr="007242C3">
              <w:rPr>
                <w:sz w:val="22"/>
                <w:szCs w:val="22"/>
                <w:lang w:val="en-GB"/>
              </w:rPr>
              <w:t>)</w:t>
            </w:r>
            <w:r w:rsidRPr="007242C3">
              <w:rPr>
                <w:sz w:val="22"/>
                <w:szCs w:val="22"/>
                <w:lang w:val="en-GB"/>
              </w:rPr>
              <w:br/>
              <w:t xml:space="preserve">5 725-5 755 MHz </w:t>
            </w:r>
            <w:r w:rsidRPr="007242C3">
              <w:rPr>
                <w:position w:val="4"/>
                <w:sz w:val="22"/>
                <w:szCs w:val="22"/>
                <w:lang w:val="en-GB"/>
              </w:rPr>
              <w:t>5</w:t>
            </w:r>
            <w:r w:rsidRPr="007242C3">
              <w:rPr>
                <w:sz w:val="22"/>
                <w:szCs w:val="22"/>
                <w:lang w:val="en-GB"/>
              </w:rPr>
              <w:t xml:space="preserve"> (Region 1 countries listed in Nos. </w:t>
            </w:r>
            <w:r w:rsidRPr="007242C3">
              <w:rPr>
                <w:b/>
                <w:bCs/>
                <w:sz w:val="22"/>
                <w:szCs w:val="22"/>
                <w:lang w:val="en-GB"/>
              </w:rPr>
              <w:t>5.453</w:t>
            </w:r>
            <w:r w:rsidRPr="007242C3">
              <w:rPr>
                <w:sz w:val="22"/>
                <w:szCs w:val="22"/>
                <w:lang w:val="en-GB"/>
              </w:rPr>
              <w:t xml:space="preserve"> and </w:t>
            </w:r>
            <w:r w:rsidRPr="007242C3">
              <w:rPr>
                <w:b/>
                <w:bCs/>
                <w:sz w:val="22"/>
                <w:szCs w:val="22"/>
                <w:lang w:val="en-GB"/>
              </w:rPr>
              <w:t>5.455</w:t>
            </w:r>
            <w:r w:rsidRPr="007242C3">
              <w:rPr>
                <w:sz w:val="22"/>
                <w:szCs w:val="22"/>
                <w:lang w:val="en-GB"/>
              </w:rPr>
              <w:t>)</w:t>
            </w:r>
            <w:r w:rsidRPr="007242C3">
              <w:rPr>
                <w:sz w:val="22"/>
                <w:szCs w:val="22"/>
                <w:lang w:val="en-GB"/>
              </w:rPr>
              <w:br/>
              <w:t xml:space="preserve">5 755-5 850 MHz </w:t>
            </w:r>
            <w:r w:rsidRPr="007242C3">
              <w:rPr>
                <w:position w:val="4"/>
                <w:sz w:val="22"/>
                <w:szCs w:val="22"/>
                <w:lang w:val="en-GB"/>
              </w:rPr>
              <w:t>5</w:t>
            </w:r>
            <w:r w:rsidRPr="007242C3">
              <w:rPr>
                <w:sz w:val="22"/>
                <w:szCs w:val="22"/>
                <w:lang w:val="en-GB"/>
              </w:rPr>
              <w:t xml:space="preserve"> (Region 1 countries listed in Nos. </w:t>
            </w:r>
            <w:r w:rsidRPr="007242C3">
              <w:rPr>
                <w:b/>
                <w:bCs/>
                <w:sz w:val="22"/>
                <w:szCs w:val="22"/>
                <w:lang w:val="en-GB"/>
              </w:rPr>
              <w:t>5.453</w:t>
            </w:r>
            <w:r w:rsidRPr="007242C3">
              <w:rPr>
                <w:sz w:val="22"/>
                <w:szCs w:val="22"/>
                <w:lang w:val="en-GB"/>
              </w:rPr>
              <w:t xml:space="preserve"> and </w:t>
            </w:r>
            <w:r w:rsidRPr="007242C3">
              <w:rPr>
                <w:b/>
                <w:bCs/>
                <w:sz w:val="22"/>
                <w:szCs w:val="22"/>
                <w:lang w:val="en-GB"/>
              </w:rPr>
              <w:t>5.455)</w:t>
            </w:r>
            <w:r w:rsidRPr="007242C3">
              <w:rPr>
                <w:sz w:val="22"/>
                <w:szCs w:val="22"/>
                <w:lang w:val="en-GB"/>
              </w:rPr>
              <w:br/>
              <w:t>5 850-7 075 MHz</w:t>
            </w:r>
            <w:r w:rsidRPr="007242C3">
              <w:rPr>
                <w:sz w:val="22"/>
                <w:szCs w:val="22"/>
                <w:lang w:val="en-GB"/>
              </w:rPr>
              <w:br/>
              <w:t>7 145-7 235 MHz</w:t>
            </w:r>
            <w:r w:rsidRPr="007242C3">
              <w:rPr>
                <w:rFonts w:eastAsiaTheme="majorEastAsia"/>
                <w:position w:val="6"/>
                <w:sz w:val="22"/>
                <w:szCs w:val="22"/>
                <w:lang w:val="en-GB"/>
              </w:rPr>
              <w:footnoteReference w:customMarkFollows="1" w:id="3"/>
              <w:t>*</w:t>
            </w:r>
            <w:r w:rsidRPr="007242C3">
              <w:rPr>
                <w:sz w:val="22"/>
                <w:szCs w:val="22"/>
                <w:lang w:val="en-GB" w:eastAsia="zh-CN"/>
              </w:rPr>
              <w:t xml:space="preserve"> </w:t>
            </w:r>
            <w:r w:rsidRPr="007242C3">
              <w:rPr>
                <w:sz w:val="22"/>
                <w:szCs w:val="22"/>
                <w:lang w:val="en-GB"/>
              </w:rPr>
              <w:br/>
              <w:t>7 900-8 400 MHz</w:t>
            </w:r>
          </w:p>
        </w:tc>
        <w:tc>
          <w:tcPr>
            <w:tcW w:w="2905" w:type="dxa"/>
            <w:tcBorders>
              <w:top w:val="single" w:sz="4" w:space="0" w:color="auto"/>
              <w:left w:val="single" w:sz="6" w:space="0" w:color="auto"/>
              <w:bottom w:val="single" w:sz="4" w:space="0" w:color="auto"/>
              <w:right w:val="single" w:sz="6" w:space="0" w:color="auto"/>
            </w:tcBorders>
            <w:hideMark/>
          </w:tcPr>
          <w:p w14:paraId="1C58F3AC" w14:textId="1B0F9EB7" w:rsidR="00B14D5A" w:rsidRPr="007242C3" w:rsidRDefault="00B14D5A" w:rsidP="00B14D5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2"/>
                <w:szCs w:val="22"/>
                <w:lang w:val="en-GB"/>
              </w:rPr>
            </w:pPr>
            <w:r w:rsidRPr="007242C3">
              <w:rPr>
                <w:sz w:val="22"/>
                <w:szCs w:val="22"/>
                <w:lang w:val="en-GB"/>
              </w:rPr>
              <w:t>Fixed-satellite</w:t>
            </w:r>
            <w:r w:rsidRPr="007242C3">
              <w:rPr>
                <w:sz w:val="22"/>
                <w:szCs w:val="22"/>
                <w:lang w:val="en-GB"/>
              </w:rPr>
              <w:br/>
              <w:t>Meteorological-satellite</w:t>
            </w:r>
            <w:r w:rsidRPr="007242C3">
              <w:rPr>
                <w:sz w:val="22"/>
                <w:szCs w:val="22"/>
                <w:lang w:val="en-GB"/>
              </w:rPr>
              <w:br/>
              <w:t>Space research</w:t>
            </w:r>
            <w:r w:rsidRPr="007242C3">
              <w:rPr>
                <w:sz w:val="22"/>
                <w:szCs w:val="22"/>
                <w:lang w:val="en-GB"/>
              </w:rPr>
              <w:br/>
              <w:t>Space operation</w:t>
            </w:r>
            <w:r w:rsidRPr="007242C3">
              <w:rPr>
                <w:sz w:val="22"/>
                <w:szCs w:val="22"/>
                <w:lang w:val="en-GB"/>
              </w:rPr>
              <w:br/>
              <w:t>Earth exploration-satellite</w:t>
            </w:r>
            <w:r w:rsidRPr="007242C3">
              <w:rPr>
                <w:sz w:val="22"/>
                <w:szCs w:val="22"/>
                <w:lang w:val="en-GB"/>
              </w:rPr>
              <w:br/>
              <w:t>Mobile-satellite</w:t>
            </w:r>
          </w:p>
        </w:tc>
        <w:tc>
          <w:tcPr>
            <w:tcW w:w="2035" w:type="dxa"/>
            <w:tcBorders>
              <w:top w:val="single" w:sz="4" w:space="0" w:color="auto"/>
              <w:left w:val="single" w:sz="6" w:space="0" w:color="auto"/>
              <w:bottom w:val="single" w:sz="4" w:space="0" w:color="auto"/>
              <w:right w:val="single" w:sz="6" w:space="0" w:color="auto"/>
            </w:tcBorders>
            <w:hideMark/>
          </w:tcPr>
          <w:p w14:paraId="1B88D485" w14:textId="428B3CE5" w:rsidR="00B14D5A" w:rsidRPr="007242C3" w:rsidRDefault="00B14D5A" w:rsidP="00B14D5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2"/>
                <w:szCs w:val="22"/>
                <w:lang w:val="en-GB"/>
              </w:rPr>
            </w:pPr>
            <w:r w:rsidRPr="007242C3">
              <w:rPr>
                <w:b/>
                <w:bCs/>
                <w:sz w:val="22"/>
                <w:szCs w:val="22"/>
                <w:lang w:val="en-GB"/>
              </w:rPr>
              <w:t>21.2</w:t>
            </w:r>
            <w:r w:rsidRPr="007242C3">
              <w:rPr>
                <w:sz w:val="22"/>
                <w:szCs w:val="22"/>
                <w:lang w:val="en-GB"/>
              </w:rPr>
              <w:t xml:space="preserve">, </w:t>
            </w:r>
            <w:r w:rsidRPr="007242C3">
              <w:rPr>
                <w:b/>
                <w:bCs/>
                <w:sz w:val="22"/>
                <w:szCs w:val="22"/>
                <w:lang w:val="en-GB"/>
              </w:rPr>
              <w:t>21.3</w:t>
            </w:r>
            <w:r w:rsidRPr="007242C3">
              <w:rPr>
                <w:sz w:val="22"/>
                <w:szCs w:val="22"/>
                <w:lang w:val="en-GB"/>
              </w:rPr>
              <w:t>,</w:t>
            </w:r>
            <w:r w:rsidRPr="007242C3">
              <w:rPr>
                <w:sz w:val="22"/>
                <w:szCs w:val="22"/>
                <w:lang w:val="en-GB"/>
              </w:rPr>
              <w:br/>
            </w:r>
            <w:r w:rsidRPr="007242C3">
              <w:rPr>
                <w:b/>
                <w:bCs/>
                <w:sz w:val="22"/>
                <w:szCs w:val="22"/>
                <w:lang w:val="en-GB"/>
              </w:rPr>
              <w:t>21.4</w:t>
            </w:r>
            <w:r w:rsidRPr="007242C3">
              <w:rPr>
                <w:sz w:val="22"/>
                <w:szCs w:val="22"/>
                <w:lang w:val="en-GB"/>
              </w:rPr>
              <w:t xml:space="preserve"> and </w:t>
            </w:r>
            <w:r w:rsidRPr="007242C3">
              <w:rPr>
                <w:b/>
                <w:bCs/>
                <w:sz w:val="22"/>
                <w:szCs w:val="22"/>
                <w:lang w:val="en-GB"/>
              </w:rPr>
              <w:t>21.5</w:t>
            </w:r>
          </w:p>
        </w:tc>
      </w:tr>
      <w:tr w:rsidR="00B14D5A" w:rsidRPr="007242C3" w14:paraId="12AE4B1D" w14:textId="503744A9" w:rsidTr="005A6B4B">
        <w:trPr>
          <w:cantSplit/>
          <w:trHeight w:val="20"/>
          <w:jc w:val="center"/>
        </w:trPr>
        <w:tc>
          <w:tcPr>
            <w:tcW w:w="4360" w:type="dxa"/>
            <w:tcBorders>
              <w:top w:val="single" w:sz="4" w:space="0" w:color="auto"/>
              <w:left w:val="single" w:sz="6" w:space="0" w:color="auto"/>
              <w:bottom w:val="single" w:sz="4" w:space="0" w:color="auto"/>
              <w:right w:val="single" w:sz="6" w:space="0" w:color="auto"/>
            </w:tcBorders>
            <w:hideMark/>
          </w:tcPr>
          <w:p w14:paraId="1DFDA17D" w14:textId="19FBC0BB" w:rsidR="00B14D5A" w:rsidRPr="007242C3" w:rsidRDefault="00B14D5A" w:rsidP="00B14D5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2"/>
                <w:szCs w:val="22"/>
                <w:lang w:val="en-GB"/>
              </w:rPr>
            </w:pPr>
            <w:r w:rsidRPr="007242C3">
              <w:rPr>
                <w:sz w:val="22"/>
                <w:szCs w:val="22"/>
                <w:lang w:val="en-GB"/>
              </w:rPr>
              <w:t xml:space="preserve">10.7-11.7 GHz </w:t>
            </w:r>
            <w:r w:rsidRPr="007242C3">
              <w:rPr>
                <w:position w:val="4"/>
                <w:sz w:val="22"/>
                <w:szCs w:val="22"/>
                <w:lang w:val="en-GB"/>
              </w:rPr>
              <w:t>5</w:t>
            </w:r>
            <w:r w:rsidRPr="007242C3">
              <w:rPr>
                <w:sz w:val="22"/>
                <w:szCs w:val="22"/>
                <w:lang w:val="en-GB"/>
              </w:rPr>
              <w:t xml:space="preserve"> (Region 1)</w:t>
            </w:r>
            <w:r w:rsidRPr="007242C3">
              <w:rPr>
                <w:sz w:val="22"/>
                <w:szCs w:val="22"/>
                <w:lang w:val="en-GB"/>
              </w:rPr>
              <w:br/>
              <w:t xml:space="preserve">12.5-12.75 GHz </w:t>
            </w:r>
            <w:r w:rsidRPr="007242C3">
              <w:rPr>
                <w:position w:val="4"/>
                <w:sz w:val="22"/>
                <w:szCs w:val="22"/>
                <w:lang w:val="en-GB"/>
              </w:rPr>
              <w:t>5</w:t>
            </w:r>
            <w:r w:rsidRPr="007242C3">
              <w:rPr>
                <w:sz w:val="22"/>
                <w:szCs w:val="22"/>
                <w:lang w:val="en-GB"/>
              </w:rPr>
              <w:t xml:space="preserve"> (Nos. </w:t>
            </w:r>
            <w:r w:rsidRPr="007242C3">
              <w:rPr>
                <w:b/>
                <w:bCs/>
                <w:sz w:val="22"/>
                <w:szCs w:val="22"/>
                <w:lang w:val="en-GB"/>
              </w:rPr>
              <w:t>5.494</w:t>
            </w:r>
            <w:r w:rsidRPr="007242C3">
              <w:rPr>
                <w:sz w:val="22"/>
                <w:szCs w:val="22"/>
                <w:lang w:val="en-GB"/>
              </w:rPr>
              <w:t xml:space="preserve"> and </w:t>
            </w:r>
            <w:r w:rsidRPr="007242C3">
              <w:rPr>
                <w:b/>
                <w:bCs/>
                <w:sz w:val="22"/>
                <w:szCs w:val="22"/>
                <w:lang w:val="en-GB"/>
              </w:rPr>
              <w:t>5.496</w:t>
            </w:r>
            <w:r w:rsidRPr="007242C3">
              <w:rPr>
                <w:sz w:val="22"/>
                <w:szCs w:val="22"/>
                <w:lang w:val="en-GB"/>
              </w:rPr>
              <w:t>)</w:t>
            </w:r>
            <w:r w:rsidRPr="007242C3">
              <w:rPr>
                <w:sz w:val="22"/>
                <w:szCs w:val="22"/>
                <w:lang w:val="en-GB"/>
              </w:rPr>
              <w:br/>
              <w:t xml:space="preserve">12.7-12.75 GHz </w:t>
            </w:r>
            <w:r w:rsidRPr="007242C3">
              <w:rPr>
                <w:position w:val="4"/>
                <w:sz w:val="22"/>
                <w:szCs w:val="22"/>
                <w:lang w:val="en-GB"/>
              </w:rPr>
              <w:t>5</w:t>
            </w:r>
            <w:r w:rsidRPr="007242C3">
              <w:rPr>
                <w:sz w:val="22"/>
                <w:szCs w:val="22"/>
                <w:lang w:val="en-GB"/>
              </w:rPr>
              <w:t xml:space="preserve"> (Region 2)</w:t>
            </w:r>
            <w:r w:rsidRPr="007242C3">
              <w:rPr>
                <w:sz w:val="22"/>
                <w:szCs w:val="22"/>
                <w:lang w:val="en-GB"/>
              </w:rPr>
              <w:br/>
              <w:t>12.75-13.25 GHz</w:t>
            </w:r>
            <w:r w:rsidRPr="007242C3">
              <w:rPr>
                <w:sz w:val="22"/>
                <w:szCs w:val="22"/>
                <w:lang w:val="en-GB"/>
              </w:rPr>
              <w:br/>
              <w:t>13.75-14 GHz (Nos. </w:t>
            </w:r>
            <w:r w:rsidRPr="007242C3">
              <w:rPr>
                <w:b/>
                <w:bCs/>
                <w:sz w:val="22"/>
                <w:szCs w:val="22"/>
                <w:lang w:val="en-GB"/>
              </w:rPr>
              <w:t>5.499</w:t>
            </w:r>
            <w:r w:rsidRPr="007242C3">
              <w:rPr>
                <w:sz w:val="22"/>
                <w:szCs w:val="22"/>
                <w:lang w:val="en-GB"/>
              </w:rPr>
              <w:t xml:space="preserve"> and </w:t>
            </w:r>
            <w:r w:rsidRPr="007242C3">
              <w:rPr>
                <w:b/>
                <w:bCs/>
                <w:sz w:val="22"/>
                <w:szCs w:val="22"/>
                <w:lang w:val="en-GB"/>
              </w:rPr>
              <w:t>5.500</w:t>
            </w:r>
            <w:r w:rsidRPr="007242C3">
              <w:rPr>
                <w:sz w:val="22"/>
                <w:szCs w:val="22"/>
                <w:lang w:val="en-GB"/>
              </w:rPr>
              <w:t>)</w:t>
            </w:r>
            <w:r w:rsidRPr="007242C3">
              <w:rPr>
                <w:sz w:val="22"/>
                <w:szCs w:val="22"/>
                <w:lang w:val="en-GB"/>
              </w:rPr>
              <w:br/>
              <w:t>14.0-14.25 GHz (No. </w:t>
            </w:r>
            <w:r w:rsidRPr="007242C3">
              <w:rPr>
                <w:b/>
                <w:bCs/>
                <w:sz w:val="22"/>
                <w:szCs w:val="22"/>
                <w:lang w:val="en-GB"/>
              </w:rPr>
              <w:t>5.505</w:t>
            </w:r>
            <w:r w:rsidRPr="007242C3">
              <w:rPr>
                <w:sz w:val="22"/>
                <w:szCs w:val="22"/>
                <w:lang w:val="en-GB"/>
              </w:rPr>
              <w:t>)</w:t>
            </w:r>
            <w:r w:rsidRPr="007242C3">
              <w:rPr>
                <w:sz w:val="22"/>
                <w:szCs w:val="22"/>
                <w:lang w:val="en-GB"/>
              </w:rPr>
              <w:br/>
              <w:t>14.25-14.3 GHz (Nos. </w:t>
            </w:r>
            <w:r w:rsidRPr="007242C3">
              <w:rPr>
                <w:b/>
                <w:bCs/>
                <w:sz w:val="22"/>
                <w:szCs w:val="22"/>
                <w:lang w:val="en-GB"/>
              </w:rPr>
              <w:t>5.505</w:t>
            </w:r>
            <w:r w:rsidRPr="007242C3">
              <w:rPr>
                <w:sz w:val="22"/>
                <w:szCs w:val="22"/>
                <w:lang w:val="en-GB"/>
              </w:rPr>
              <w:t xml:space="preserve"> and </w:t>
            </w:r>
            <w:r w:rsidRPr="007242C3">
              <w:rPr>
                <w:b/>
                <w:bCs/>
                <w:sz w:val="22"/>
                <w:szCs w:val="22"/>
                <w:lang w:val="en-GB"/>
              </w:rPr>
              <w:t>5.508</w:t>
            </w:r>
            <w:r w:rsidRPr="007242C3">
              <w:rPr>
                <w:sz w:val="22"/>
                <w:szCs w:val="22"/>
                <w:lang w:val="en-GB"/>
              </w:rPr>
              <w:t>)</w:t>
            </w:r>
            <w:r w:rsidRPr="007242C3">
              <w:rPr>
                <w:sz w:val="22"/>
                <w:szCs w:val="22"/>
                <w:lang w:val="en-GB"/>
              </w:rPr>
              <w:br/>
              <w:t xml:space="preserve">14.3-14.4 GHz </w:t>
            </w:r>
            <w:r w:rsidRPr="007242C3">
              <w:rPr>
                <w:position w:val="4"/>
                <w:sz w:val="22"/>
                <w:szCs w:val="22"/>
                <w:lang w:val="en-GB"/>
              </w:rPr>
              <w:t>5</w:t>
            </w:r>
            <w:r w:rsidRPr="007242C3">
              <w:rPr>
                <w:sz w:val="22"/>
                <w:szCs w:val="22"/>
                <w:lang w:val="en-GB"/>
              </w:rPr>
              <w:t xml:space="preserve"> (Regions 1 and 3)</w:t>
            </w:r>
            <w:r w:rsidRPr="007242C3">
              <w:rPr>
                <w:sz w:val="22"/>
                <w:szCs w:val="22"/>
                <w:lang w:val="en-GB"/>
              </w:rPr>
              <w:br/>
              <w:t>14.4-14.5 GHz</w:t>
            </w:r>
            <w:r w:rsidRPr="007242C3">
              <w:rPr>
                <w:sz w:val="22"/>
                <w:szCs w:val="22"/>
                <w:lang w:val="en-GB"/>
              </w:rPr>
              <w:br/>
              <w:t>14.5-14.8 GHz</w:t>
            </w:r>
            <w:r w:rsidRPr="007242C3">
              <w:rPr>
                <w:sz w:val="22"/>
                <w:szCs w:val="22"/>
                <w:lang w:val="en-GB"/>
              </w:rPr>
              <w:br/>
              <w:t>51.4-52.4 GHz</w:t>
            </w:r>
          </w:p>
        </w:tc>
        <w:tc>
          <w:tcPr>
            <w:tcW w:w="2905" w:type="dxa"/>
            <w:tcBorders>
              <w:top w:val="single" w:sz="4" w:space="0" w:color="auto"/>
              <w:left w:val="single" w:sz="6" w:space="0" w:color="auto"/>
              <w:bottom w:val="single" w:sz="4" w:space="0" w:color="auto"/>
              <w:right w:val="single" w:sz="6" w:space="0" w:color="auto"/>
            </w:tcBorders>
            <w:hideMark/>
          </w:tcPr>
          <w:p w14:paraId="2628F57B" w14:textId="0C5F2DED" w:rsidR="00B14D5A" w:rsidRPr="007242C3" w:rsidRDefault="00B14D5A" w:rsidP="00B14D5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2"/>
                <w:szCs w:val="22"/>
                <w:lang w:val="en-GB"/>
              </w:rPr>
            </w:pPr>
            <w:proofErr w:type="gramStart"/>
            <w:r w:rsidRPr="007242C3">
              <w:rPr>
                <w:sz w:val="22"/>
                <w:szCs w:val="22"/>
                <w:lang w:val="en-GB"/>
              </w:rPr>
              <w:t>Fixed-satellite</w:t>
            </w:r>
            <w:proofErr w:type="gramEnd"/>
          </w:p>
        </w:tc>
        <w:tc>
          <w:tcPr>
            <w:tcW w:w="2035" w:type="dxa"/>
            <w:tcBorders>
              <w:top w:val="single" w:sz="4" w:space="0" w:color="auto"/>
              <w:left w:val="single" w:sz="6" w:space="0" w:color="auto"/>
              <w:bottom w:val="single" w:sz="4" w:space="0" w:color="auto"/>
              <w:right w:val="single" w:sz="6" w:space="0" w:color="auto"/>
            </w:tcBorders>
            <w:hideMark/>
          </w:tcPr>
          <w:p w14:paraId="0C5E2496" w14:textId="1860AF71" w:rsidR="00B14D5A" w:rsidRPr="007242C3" w:rsidRDefault="00B14D5A" w:rsidP="00B14D5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b/>
                <w:bCs/>
                <w:sz w:val="22"/>
                <w:szCs w:val="22"/>
                <w:lang w:val="en-GB"/>
              </w:rPr>
            </w:pPr>
            <w:r w:rsidRPr="007242C3">
              <w:rPr>
                <w:b/>
                <w:bCs/>
                <w:sz w:val="22"/>
                <w:szCs w:val="22"/>
                <w:lang w:val="en-GB"/>
              </w:rPr>
              <w:t>21.2</w:t>
            </w:r>
            <w:r w:rsidRPr="007242C3">
              <w:rPr>
                <w:bCs/>
                <w:sz w:val="22"/>
                <w:szCs w:val="22"/>
                <w:lang w:val="en-GB"/>
              </w:rPr>
              <w:t>,</w:t>
            </w:r>
            <w:r w:rsidRPr="007242C3">
              <w:rPr>
                <w:b/>
                <w:bCs/>
                <w:sz w:val="22"/>
                <w:szCs w:val="22"/>
                <w:lang w:val="en-GB"/>
              </w:rPr>
              <w:t xml:space="preserve"> 21.3 </w:t>
            </w:r>
            <w:r w:rsidRPr="007242C3">
              <w:rPr>
                <w:sz w:val="22"/>
                <w:szCs w:val="22"/>
                <w:lang w:val="en-GB"/>
              </w:rPr>
              <w:t>and</w:t>
            </w:r>
            <w:r w:rsidRPr="007242C3">
              <w:rPr>
                <w:b/>
                <w:bCs/>
                <w:sz w:val="22"/>
                <w:szCs w:val="22"/>
                <w:lang w:val="en-GB"/>
              </w:rPr>
              <w:t xml:space="preserve"> 21.5</w:t>
            </w:r>
          </w:p>
        </w:tc>
      </w:tr>
      <w:tr w:rsidR="00B14D5A" w:rsidRPr="007242C3" w14:paraId="20C99530" w14:textId="2DD34C73" w:rsidTr="005A6B4B">
        <w:trPr>
          <w:cantSplit/>
          <w:trHeight w:val="20"/>
          <w:jc w:val="center"/>
        </w:trPr>
        <w:tc>
          <w:tcPr>
            <w:tcW w:w="4360" w:type="dxa"/>
            <w:tcBorders>
              <w:top w:val="single" w:sz="4" w:space="0" w:color="auto"/>
              <w:left w:val="single" w:sz="6" w:space="0" w:color="auto"/>
              <w:bottom w:val="single" w:sz="4" w:space="0" w:color="auto"/>
              <w:right w:val="single" w:sz="6" w:space="0" w:color="auto"/>
            </w:tcBorders>
            <w:hideMark/>
          </w:tcPr>
          <w:p w14:paraId="438448FD" w14:textId="29FACCC9" w:rsidR="00B14D5A" w:rsidRPr="007242C3" w:rsidRDefault="00B14D5A" w:rsidP="00B14D5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2"/>
                <w:szCs w:val="22"/>
                <w:lang w:val="en-GB"/>
              </w:rPr>
            </w:pPr>
            <w:r w:rsidRPr="007242C3">
              <w:rPr>
                <w:sz w:val="22"/>
                <w:szCs w:val="22"/>
                <w:lang w:val="en-GB"/>
              </w:rPr>
              <w:t>17.7-18.4 GHz</w:t>
            </w:r>
            <w:r w:rsidRPr="007242C3">
              <w:rPr>
                <w:sz w:val="22"/>
                <w:szCs w:val="22"/>
                <w:lang w:val="en-GB"/>
              </w:rPr>
              <w:br/>
              <w:t>18.6-18.8 GHz</w:t>
            </w:r>
            <w:r w:rsidRPr="007242C3">
              <w:rPr>
                <w:sz w:val="22"/>
                <w:szCs w:val="22"/>
                <w:lang w:val="en-GB"/>
              </w:rPr>
              <w:br/>
              <w:t>19.3-19.7 GHz</w:t>
            </w:r>
            <w:r w:rsidRPr="007242C3">
              <w:rPr>
                <w:sz w:val="22"/>
                <w:szCs w:val="22"/>
                <w:lang w:val="en-GB"/>
              </w:rPr>
              <w:br/>
              <w:t>22.55-23.55 GHz</w:t>
            </w:r>
            <w:r w:rsidRPr="007242C3">
              <w:rPr>
                <w:sz w:val="22"/>
                <w:szCs w:val="22"/>
                <w:lang w:val="en-GB"/>
              </w:rPr>
              <w:br/>
              <w:t>24.45-24.75 GHz (Regions 1 and 3)</w:t>
            </w:r>
            <w:r w:rsidRPr="007242C3">
              <w:rPr>
                <w:sz w:val="22"/>
                <w:szCs w:val="22"/>
                <w:lang w:val="en-GB"/>
              </w:rPr>
              <w:br/>
              <w:t>24.75-25.25 GHz (Region 3)</w:t>
            </w:r>
            <w:r w:rsidRPr="007242C3">
              <w:rPr>
                <w:sz w:val="22"/>
                <w:szCs w:val="22"/>
                <w:lang w:val="en-GB"/>
              </w:rPr>
              <w:br/>
              <w:t>25.25-29.5 GHz</w:t>
            </w:r>
          </w:p>
        </w:tc>
        <w:tc>
          <w:tcPr>
            <w:tcW w:w="2905" w:type="dxa"/>
            <w:tcBorders>
              <w:top w:val="single" w:sz="4" w:space="0" w:color="auto"/>
              <w:left w:val="single" w:sz="6" w:space="0" w:color="auto"/>
              <w:bottom w:val="single" w:sz="4" w:space="0" w:color="auto"/>
              <w:right w:val="single" w:sz="6" w:space="0" w:color="auto"/>
            </w:tcBorders>
            <w:hideMark/>
          </w:tcPr>
          <w:p w14:paraId="44F0E741" w14:textId="6380DBFA" w:rsidR="00B14D5A" w:rsidRPr="007242C3" w:rsidRDefault="00B14D5A" w:rsidP="00B14D5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2"/>
                <w:szCs w:val="22"/>
                <w:lang w:val="en-GB"/>
              </w:rPr>
            </w:pPr>
            <w:r w:rsidRPr="007242C3">
              <w:rPr>
                <w:sz w:val="22"/>
                <w:szCs w:val="22"/>
                <w:lang w:val="en-GB"/>
              </w:rPr>
              <w:t>Fixed-satellite</w:t>
            </w:r>
            <w:r w:rsidRPr="007242C3">
              <w:rPr>
                <w:sz w:val="22"/>
                <w:szCs w:val="22"/>
                <w:lang w:val="en-GB"/>
              </w:rPr>
              <w:br/>
              <w:t>Earth exploration-satellite</w:t>
            </w:r>
            <w:r w:rsidRPr="007242C3">
              <w:rPr>
                <w:sz w:val="22"/>
                <w:szCs w:val="22"/>
                <w:lang w:val="en-GB"/>
              </w:rPr>
              <w:br/>
              <w:t>Space research</w:t>
            </w:r>
            <w:r w:rsidRPr="007242C3">
              <w:rPr>
                <w:sz w:val="22"/>
                <w:szCs w:val="22"/>
                <w:lang w:val="en-GB"/>
              </w:rPr>
              <w:br/>
              <w:t>Inter-satellite</w:t>
            </w:r>
          </w:p>
        </w:tc>
        <w:tc>
          <w:tcPr>
            <w:tcW w:w="2035" w:type="dxa"/>
            <w:tcBorders>
              <w:top w:val="single" w:sz="4" w:space="0" w:color="auto"/>
              <w:left w:val="single" w:sz="6" w:space="0" w:color="auto"/>
              <w:bottom w:val="single" w:sz="4" w:space="0" w:color="auto"/>
              <w:right w:val="single" w:sz="6" w:space="0" w:color="auto"/>
            </w:tcBorders>
            <w:hideMark/>
          </w:tcPr>
          <w:p w14:paraId="68E47E2E" w14:textId="686CB7C7" w:rsidR="00B14D5A" w:rsidRPr="007242C3" w:rsidRDefault="00B14D5A" w:rsidP="00B14D5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b/>
                <w:bCs/>
                <w:sz w:val="22"/>
                <w:szCs w:val="22"/>
                <w:lang w:val="en-GB"/>
              </w:rPr>
            </w:pPr>
            <w:r w:rsidRPr="007242C3">
              <w:rPr>
                <w:b/>
                <w:bCs/>
                <w:sz w:val="22"/>
                <w:szCs w:val="22"/>
                <w:lang w:val="en-GB"/>
              </w:rPr>
              <w:t xml:space="preserve">21.2, 21.3, 21.5 </w:t>
            </w:r>
            <w:r w:rsidRPr="007242C3">
              <w:rPr>
                <w:b/>
                <w:bCs/>
                <w:sz w:val="22"/>
                <w:szCs w:val="22"/>
                <w:lang w:val="en-GB"/>
              </w:rPr>
              <w:br/>
            </w:r>
            <w:r w:rsidRPr="007242C3">
              <w:rPr>
                <w:sz w:val="22"/>
                <w:szCs w:val="22"/>
                <w:lang w:val="en-GB"/>
              </w:rPr>
              <w:t>and</w:t>
            </w:r>
            <w:r w:rsidRPr="007242C3">
              <w:rPr>
                <w:b/>
                <w:bCs/>
                <w:sz w:val="22"/>
                <w:szCs w:val="22"/>
                <w:lang w:val="en-GB"/>
              </w:rPr>
              <w:t xml:space="preserve"> 21.5A</w:t>
            </w:r>
          </w:p>
        </w:tc>
      </w:tr>
    </w:tbl>
    <w:p w14:paraId="706D0A2E" w14:textId="7559943D" w:rsidR="00B14D5A" w:rsidRPr="007242C3" w:rsidRDefault="00B14D5A" w:rsidP="00B14D5A">
      <w:pPr>
        <w:tabs>
          <w:tab w:val="left" w:pos="1134"/>
          <w:tab w:val="left" w:pos="1588"/>
          <w:tab w:val="left" w:pos="1985"/>
        </w:tabs>
        <w:overflowPunct w:val="0"/>
        <w:autoSpaceDE w:val="0"/>
        <w:autoSpaceDN w:val="0"/>
        <w:adjustRightInd w:val="0"/>
        <w:spacing w:before="120"/>
        <w:textAlignment w:val="baseline"/>
        <w:rPr>
          <w:sz w:val="22"/>
          <w:szCs w:val="22"/>
          <w:lang w:val="en-GB"/>
        </w:rPr>
      </w:pPr>
      <w:r w:rsidRPr="007242C3">
        <w:rPr>
          <w:b/>
          <w:sz w:val="22"/>
          <w:szCs w:val="22"/>
          <w:lang w:val="en-GB"/>
        </w:rPr>
        <w:lastRenderedPageBreak/>
        <w:t>Reasons:</w:t>
      </w:r>
      <w:r w:rsidRPr="007242C3">
        <w:rPr>
          <w:sz w:val="22"/>
          <w:szCs w:val="22"/>
          <w:lang w:val="en-GB"/>
        </w:rPr>
        <w:tab/>
        <w:t>No modifications are necessary.</w:t>
      </w:r>
    </w:p>
    <w:p w14:paraId="222C8C4F" w14:textId="6AE42CD0" w:rsidR="00B14D5A" w:rsidRPr="007242C3" w:rsidRDefault="00B14D5A" w:rsidP="00B14D5A">
      <w:pPr>
        <w:keepNext/>
        <w:tabs>
          <w:tab w:val="left" w:pos="1134"/>
          <w:tab w:val="left" w:pos="1871"/>
          <w:tab w:val="left" w:pos="2268"/>
        </w:tabs>
        <w:overflowPunct w:val="0"/>
        <w:autoSpaceDE w:val="0"/>
        <w:autoSpaceDN w:val="0"/>
        <w:adjustRightInd w:val="0"/>
        <w:spacing w:before="240"/>
        <w:textAlignment w:val="baseline"/>
        <w:rPr>
          <w:b/>
          <w:sz w:val="22"/>
          <w:szCs w:val="22"/>
          <w:lang w:val="en-GB"/>
        </w:rPr>
      </w:pPr>
      <w:r w:rsidRPr="007242C3">
        <w:rPr>
          <w:b/>
          <w:sz w:val="22"/>
          <w:szCs w:val="22"/>
          <w:u w:val="single"/>
          <w:lang w:val="en-GB"/>
        </w:rPr>
        <w:t>NOC</w:t>
      </w:r>
      <w:r w:rsidRPr="007242C3">
        <w:rPr>
          <w:b/>
          <w:sz w:val="22"/>
          <w:szCs w:val="22"/>
          <w:lang w:val="en-GB"/>
        </w:rPr>
        <w:tab/>
        <w:t>USA/</w:t>
      </w:r>
      <w:r w:rsidR="00AD1772" w:rsidRPr="007242C3">
        <w:rPr>
          <w:rFonts w:eastAsia="Calibri"/>
          <w:b/>
          <w:bCs/>
          <w:sz w:val="22"/>
          <w:szCs w:val="22"/>
        </w:rPr>
        <w:t>9.2</w:t>
      </w:r>
      <w:r w:rsidRPr="007242C3">
        <w:rPr>
          <w:b/>
          <w:sz w:val="22"/>
          <w:szCs w:val="22"/>
          <w:lang w:val="en-GB"/>
        </w:rPr>
        <w:t>/</w:t>
      </w:r>
      <w:r w:rsidR="00B801F7" w:rsidRPr="007242C3">
        <w:rPr>
          <w:b/>
          <w:sz w:val="22"/>
          <w:szCs w:val="22"/>
          <w:lang w:val="en-GB"/>
        </w:rPr>
        <w:t>4</w:t>
      </w:r>
    </w:p>
    <w:p w14:paraId="220F8772" w14:textId="7C32516A" w:rsidR="00B14D5A" w:rsidRPr="007242C3" w:rsidRDefault="00B14D5A" w:rsidP="00B14D5A">
      <w:pPr>
        <w:tabs>
          <w:tab w:val="left" w:pos="1134"/>
          <w:tab w:val="left" w:pos="1871"/>
          <w:tab w:val="left" w:pos="2268"/>
        </w:tabs>
        <w:overflowPunct w:val="0"/>
        <w:autoSpaceDE w:val="0"/>
        <w:autoSpaceDN w:val="0"/>
        <w:adjustRightInd w:val="0"/>
        <w:spacing w:before="120"/>
        <w:jc w:val="center"/>
        <w:textAlignment w:val="baseline"/>
        <w:rPr>
          <w:b/>
          <w:bCs/>
          <w:sz w:val="22"/>
          <w:szCs w:val="22"/>
          <w:lang w:val="en-GB"/>
        </w:rPr>
      </w:pPr>
      <w:r w:rsidRPr="007242C3">
        <w:rPr>
          <w:b/>
          <w:bCs/>
          <w:sz w:val="22"/>
          <w:szCs w:val="22"/>
          <w:lang w:val="en-GB"/>
        </w:rPr>
        <w:t>APPENDICES</w:t>
      </w:r>
    </w:p>
    <w:p w14:paraId="48CBE499" w14:textId="2F921233" w:rsidR="00B14D5A" w:rsidRPr="007242C3" w:rsidRDefault="00B14D5A" w:rsidP="00B14D5A">
      <w:pPr>
        <w:tabs>
          <w:tab w:val="left" w:pos="1134"/>
          <w:tab w:val="left" w:pos="1588"/>
          <w:tab w:val="left" w:pos="1985"/>
        </w:tabs>
        <w:overflowPunct w:val="0"/>
        <w:autoSpaceDE w:val="0"/>
        <w:autoSpaceDN w:val="0"/>
        <w:adjustRightInd w:val="0"/>
        <w:spacing w:before="120"/>
        <w:textAlignment w:val="baseline"/>
        <w:rPr>
          <w:sz w:val="22"/>
          <w:szCs w:val="22"/>
          <w:lang w:val="en-GB"/>
        </w:rPr>
      </w:pPr>
      <w:r w:rsidRPr="007242C3">
        <w:rPr>
          <w:b/>
          <w:sz w:val="22"/>
          <w:szCs w:val="22"/>
          <w:lang w:val="en-GB"/>
        </w:rPr>
        <w:t>Reasons:</w:t>
      </w:r>
      <w:r w:rsidRPr="007242C3">
        <w:rPr>
          <w:sz w:val="22"/>
          <w:szCs w:val="22"/>
          <w:lang w:val="en-GB"/>
        </w:rPr>
        <w:tab/>
        <w:t>No modifications are necessary.</w:t>
      </w:r>
    </w:p>
    <w:p w14:paraId="510DA6A9" w14:textId="11D1017A" w:rsidR="00B14D5A" w:rsidRPr="007242C3" w:rsidRDefault="00B14D5A" w:rsidP="00B14D5A">
      <w:pPr>
        <w:tabs>
          <w:tab w:val="left" w:pos="1134"/>
          <w:tab w:val="left" w:pos="1588"/>
          <w:tab w:val="left" w:pos="1985"/>
        </w:tabs>
        <w:overflowPunct w:val="0"/>
        <w:autoSpaceDE w:val="0"/>
        <w:autoSpaceDN w:val="0"/>
        <w:adjustRightInd w:val="0"/>
        <w:spacing w:before="120"/>
        <w:textAlignment w:val="baseline"/>
        <w:rPr>
          <w:sz w:val="22"/>
          <w:szCs w:val="22"/>
          <w:lang w:val="en-GB"/>
        </w:rPr>
      </w:pPr>
    </w:p>
    <w:p w14:paraId="13BF7C83" w14:textId="18F576BD" w:rsidR="00B14D5A" w:rsidRPr="007242C3" w:rsidRDefault="00B14D5A" w:rsidP="00B14D5A">
      <w:pPr>
        <w:tabs>
          <w:tab w:val="left" w:pos="1134"/>
          <w:tab w:val="left" w:pos="1588"/>
          <w:tab w:val="left" w:pos="1985"/>
        </w:tabs>
        <w:overflowPunct w:val="0"/>
        <w:autoSpaceDE w:val="0"/>
        <w:autoSpaceDN w:val="0"/>
        <w:adjustRightInd w:val="0"/>
        <w:spacing w:before="120"/>
        <w:jc w:val="center"/>
        <w:textAlignment w:val="baseline"/>
        <w:rPr>
          <w:sz w:val="22"/>
          <w:szCs w:val="22"/>
          <w:lang w:val="en-GB"/>
        </w:rPr>
      </w:pPr>
      <w:r w:rsidRPr="007242C3">
        <w:rPr>
          <w:sz w:val="22"/>
          <w:szCs w:val="22"/>
          <w:lang w:val="en-GB"/>
        </w:rPr>
        <w:t>_____________</w:t>
      </w:r>
    </w:p>
    <w:p w14:paraId="34185C45" w14:textId="1BD902C9" w:rsidR="00B14D5A" w:rsidRPr="007242C3" w:rsidRDefault="00B14D5A" w:rsidP="00B14D5A">
      <w:pPr>
        <w:tabs>
          <w:tab w:val="left" w:pos="1134"/>
          <w:tab w:val="left" w:pos="1871"/>
          <w:tab w:val="left" w:pos="2268"/>
        </w:tabs>
        <w:overflowPunct w:val="0"/>
        <w:autoSpaceDE w:val="0"/>
        <w:autoSpaceDN w:val="0"/>
        <w:adjustRightInd w:val="0"/>
        <w:spacing w:before="120"/>
        <w:textAlignment w:val="baseline"/>
        <w:rPr>
          <w:sz w:val="22"/>
          <w:szCs w:val="22"/>
          <w:lang w:val="en-GB"/>
        </w:rPr>
      </w:pPr>
    </w:p>
    <w:p w14:paraId="168A46B8" w14:textId="77777777" w:rsidR="00B14D5A" w:rsidRPr="007242C3" w:rsidRDefault="00B14D5A" w:rsidP="00EC64B5">
      <w:pPr>
        <w:tabs>
          <w:tab w:val="left" w:pos="1134"/>
          <w:tab w:val="left" w:pos="1871"/>
          <w:tab w:val="left" w:pos="2268"/>
        </w:tabs>
        <w:overflowPunct w:val="0"/>
        <w:autoSpaceDE w:val="0"/>
        <w:autoSpaceDN w:val="0"/>
        <w:adjustRightInd w:val="0"/>
        <w:textAlignment w:val="baseline"/>
        <w:rPr>
          <w:b/>
          <w:sz w:val="22"/>
          <w:szCs w:val="22"/>
          <w:lang w:val="en-GB"/>
        </w:rPr>
      </w:pPr>
    </w:p>
    <w:sectPr w:rsidR="00B14D5A" w:rsidRPr="007242C3" w:rsidSect="000C731E">
      <w:headerReference w:type="default" r:id="rId20"/>
      <w:pgSz w:w="12242" w:h="15842" w:code="1"/>
      <w:pgMar w:top="1440" w:right="1440" w:bottom="1440" w:left="1440" w:header="403" w:footer="720" w:gutter="0"/>
      <w:pgNumType w:start="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F5D22" w14:textId="77777777" w:rsidR="00A723E4" w:rsidRDefault="00A723E4">
      <w:r>
        <w:separator/>
      </w:r>
    </w:p>
  </w:endnote>
  <w:endnote w:type="continuationSeparator" w:id="0">
    <w:p w14:paraId="5284DB60" w14:textId="77777777" w:rsidR="00A723E4" w:rsidRDefault="00A72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1DC3" w14:textId="5F5502E3"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6A3E">
      <w:rPr>
        <w:rStyle w:val="PageNumber"/>
        <w:noProof/>
      </w:rPr>
      <w:t>0</w:t>
    </w:r>
    <w:r>
      <w:rPr>
        <w:rStyle w:val="PageNumber"/>
      </w:rPr>
      <w:fldChar w:fldCharType="end"/>
    </w:r>
  </w:p>
  <w:p w14:paraId="59D6AE1C" w14:textId="77777777" w:rsidR="00C41FAE" w:rsidRDefault="00C41F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FF98"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674">
      <w:rPr>
        <w:rStyle w:val="PageNumber"/>
        <w:noProof/>
      </w:rPr>
      <w:t>2</w:t>
    </w:r>
    <w:r>
      <w:rPr>
        <w:rStyle w:val="PageNumber"/>
      </w:rPr>
      <w:fldChar w:fldCharType="end"/>
    </w:r>
  </w:p>
  <w:p w14:paraId="64BD47E1" w14:textId="0532082B" w:rsidR="00C41FAE" w:rsidRDefault="002B4C07" w:rsidP="00D87E29">
    <w:pPr>
      <w:pStyle w:val="Footer"/>
      <w:ind w:right="360"/>
    </w:pPr>
    <w:r>
      <w:rPr>
        <w:snapToGrid w:val="0"/>
      </w:rPr>
      <w:fldChar w:fldCharType="begin"/>
    </w:r>
    <w:r>
      <w:rPr>
        <w:snapToGrid w:val="0"/>
      </w:rPr>
      <w:instrText xml:space="preserve"> FILENAME </w:instrText>
    </w:r>
    <w:r>
      <w:rPr>
        <w:snapToGrid w:val="0"/>
      </w:rPr>
      <w:fldChar w:fldCharType="separate"/>
    </w:r>
    <w:r w:rsidR="000C731E">
      <w:rPr>
        <w:noProof/>
        <w:snapToGrid w:val="0"/>
      </w:rPr>
      <w:t>CCPII-2023-42-5939_i</w:t>
    </w:r>
    <w:r>
      <w:rPr>
        <w:snapToGrid w:val="0"/>
      </w:rPr>
      <w:fldChar w:fldCharType="end"/>
    </w:r>
    <w:r w:rsidR="00C41FAE">
      <w:tab/>
    </w:r>
    <w:r w:rsidR="009F3654">
      <w:t xml:space="preserve">                      </w:t>
    </w:r>
    <w:r w:rsidR="000C731E">
      <w:t xml:space="preserve">          </w:t>
    </w:r>
    <w:r w:rsidR="009F3654">
      <w:t xml:space="preserve"> </w:t>
    </w:r>
    <w:r w:rsidR="0095657A">
      <w:fldChar w:fldCharType="begin"/>
    </w:r>
    <w:r w:rsidR="0095657A">
      <w:rPr>
        <w:lang w:val="es-ES_tradnl"/>
      </w:rPr>
      <w:instrText xml:space="preserve"> TIME \@ "d/M/yy" </w:instrText>
    </w:r>
    <w:r w:rsidR="0095657A">
      <w:fldChar w:fldCharType="separate"/>
    </w:r>
    <w:r w:rsidR="000C731E">
      <w:rPr>
        <w:noProof/>
        <w:lang w:val="es-ES_tradnl"/>
      </w:rPr>
      <w:t>13.08.23</w:t>
    </w:r>
    <w:r w:rsidR="0095657A">
      <w:fldChar w:fldCharType="end"/>
    </w:r>
    <w:r w:rsidR="00C41FAE">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C9B4" w14:textId="77777777" w:rsidR="00C41FAE" w:rsidRDefault="00C41FAE">
    <w:pPr>
      <w:jc w:val="center"/>
      <w:rPr>
        <w:rFonts w:ascii="Arial" w:hAnsi="Arial"/>
        <w:sz w:val="16"/>
      </w:rPr>
    </w:pPr>
    <w:r>
      <w:rPr>
        <w:rFonts w:ascii="Arial" w:hAnsi="Arial"/>
        <w:sz w:val="16"/>
      </w:rPr>
      <w:t>CITEL, 1889 F ST. NW., WASHINGTON, D.C. 20006, U.S.A.</w:t>
    </w:r>
  </w:p>
  <w:p w14:paraId="44CDB2FE" w14:textId="77777777" w:rsidR="00C41FAE" w:rsidRPr="00B71FAB" w:rsidRDefault="00C41FAE">
    <w:pPr>
      <w:pStyle w:val="Footer"/>
      <w:jc w:val="center"/>
      <w:rPr>
        <w:rFonts w:ascii="Arial" w:hAnsi="Arial"/>
        <w:sz w:val="16"/>
        <w:lang w:val="pt-BR"/>
      </w:rPr>
    </w:pPr>
    <w:r w:rsidRPr="00B71FAB">
      <w:rPr>
        <w:rFonts w:ascii="Arial" w:hAnsi="Arial"/>
        <w:sz w:val="16"/>
        <w:lang w:val="pt-BR"/>
      </w:rPr>
      <w:t xml:space="preserve">TEL: +1 202 </w:t>
    </w:r>
    <w:r w:rsidR="006445B1">
      <w:rPr>
        <w:rFonts w:ascii="Arial" w:hAnsi="Arial"/>
        <w:sz w:val="16"/>
        <w:lang w:val="pt-BR"/>
      </w:rPr>
      <w:t>370</w:t>
    </w:r>
    <w:r w:rsidRPr="00B71FAB">
      <w:rPr>
        <w:rFonts w:ascii="Arial" w:hAnsi="Arial"/>
        <w:sz w:val="16"/>
        <w:lang w:val="pt-BR"/>
      </w:rPr>
      <w:t xml:space="preserve"> </w:t>
    </w:r>
    <w:r w:rsidR="006445B1">
      <w:rPr>
        <w:rFonts w:ascii="Arial" w:hAnsi="Arial"/>
        <w:sz w:val="16"/>
        <w:lang w:val="pt-BR"/>
      </w:rPr>
      <w:t xml:space="preserve">4713  </w:t>
    </w:r>
    <w:r w:rsidRPr="00B71FAB">
      <w:rPr>
        <w:rFonts w:ascii="Arial" w:hAnsi="Arial"/>
        <w:sz w:val="16"/>
        <w:lang w:val="pt-BR"/>
      </w:rPr>
      <w:t xml:space="preserve"> FAX: +1 202 458 6854 </w:t>
    </w:r>
    <w:r w:rsidR="006445B1">
      <w:rPr>
        <w:rFonts w:ascii="Arial" w:hAnsi="Arial"/>
        <w:sz w:val="16"/>
        <w:lang w:val="pt-BR"/>
      </w:rPr>
      <w:t xml:space="preserve">   </w:t>
    </w:r>
    <w:r w:rsidRPr="00B71FAB">
      <w:rPr>
        <w:rFonts w:ascii="Arial" w:hAnsi="Arial"/>
        <w:sz w:val="16"/>
        <w:lang w:val="pt-BR"/>
      </w:rPr>
      <w:t xml:space="preserve">e-mail: </w:t>
    </w:r>
    <w:hyperlink r:id="rId1" w:history="1">
      <w:r w:rsidRPr="00B71FAB">
        <w:rPr>
          <w:rStyle w:val="Hyperlink"/>
          <w:lang w:val="pt-BR"/>
        </w:rPr>
        <w:t>citel@oas.org</w:t>
      </w:r>
    </w:hyperlink>
  </w:p>
  <w:p w14:paraId="22588162" w14:textId="77777777" w:rsidR="00C41FAE" w:rsidRPr="000D09FC" w:rsidRDefault="00C41FAE">
    <w:pPr>
      <w:pStyle w:val="Footer"/>
      <w:jc w:val="center"/>
      <w:rPr>
        <w:lang w:val="fr-CA"/>
      </w:rPr>
    </w:pPr>
    <w:r w:rsidRPr="000D09FC">
      <w:rPr>
        <w:rFonts w:ascii="Arial" w:hAnsi="Arial"/>
        <w:sz w:val="16"/>
        <w:lang w:val="fr-CA"/>
      </w:rPr>
      <w:t>Web page: http://citel.oas.org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B8A44" w14:textId="77777777" w:rsidR="00A723E4" w:rsidRDefault="00A723E4">
      <w:r>
        <w:separator/>
      </w:r>
    </w:p>
  </w:footnote>
  <w:footnote w:type="continuationSeparator" w:id="0">
    <w:p w14:paraId="490342B4" w14:textId="77777777" w:rsidR="00A723E4" w:rsidRDefault="00A723E4">
      <w:r>
        <w:continuationSeparator/>
      </w:r>
    </w:p>
  </w:footnote>
  <w:footnote w:id="1">
    <w:p w14:paraId="7C514165" w14:textId="77777777" w:rsidR="002C7FE0" w:rsidRDefault="002C7FE0"/>
  </w:footnote>
  <w:footnote w:id="2">
    <w:p w14:paraId="5446B028" w14:textId="77777777" w:rsidR="002C7FE0" w:rsidRDefault="002C7FE0"/>
  </w:footnote>
  <w:footnote w:id="3">
    <w:p w14:paraId="36E0E119" w14:textId="77777777" w:rsidR="002C7FE0" w:rsidRDefault="002C7F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tblInd w:w="-403"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C41FAE" w:rsidRPr="00F53F7C" w14:paraId="4F38018C" w14:textId="77777777" w:rsidTr="004F7C58">
      <w:trPr>
        <w:cantSplit/>
        <w:trHeight w:val="1710"/>
      </w:trPr>
      <w:tc>
        <w:tcPr>
          <w:tcW w:w="1440" w:type="dxa"/>
        </w:tcPr>
        <w:p w14:paraId="33E62813" w14:textId="0EB67323" w:rsidR="00C41FAE" w:rsidRDefault="00E70641">
          <w:pPr>
            <w:rPr>
              <w:rFonts w:ascii="ZapfHumnst BT" w:hAnsi="ZapfHumnst BT"/>
            </w:rPr>
          </w:pPr>
          <w:r>
            <w:rPr>
              <w:noProof/>
            </w:rPr>
            <w:drawing>
              <wp:anchor distT="0" distB="0" distL="114300" distR="114300" simplePos="0" relativeHeight="251660288" behindDoc="0" locked="0" layoutInCell="1" allowOverlap="1" wp14:anchorId="0AFB0952" wp14:editId="113A9017">
                <wp:simplePos x="0" y="0"/>
                <wp:positionH relativeFrom="page">
                  <wp:posOffset>51435</wp:posOffset>
                </wp:positionH>
                <wp:positionV relativeFrom="page">
                  <wp:posOffset>88265</wp:posOffset>
                </wp:positionV>
                <wp:extent cx="821055" cy="822960"/>
                <wp:effectExtent l="0" t="0" r="0" b="0"/>
                <wp:wrapTopAndBottom/>
                <wp:docPr id="5" name="Picture 5"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5BA14855" wp14:editId="11F0248F">
                    <wp:simplePos x="0" y="0"/>
                    <wp:positionH relativeFrom="column">
                      <wp:posOffset>1062990</wp:posOffset>
                    </wp:positionH>
                    <wp:positionV relativeFrom="paragraph">
                      <wp:posOffset>8478520</wp:posOffset>
                    </wp:positionV>
                    <wp:extent cx="21590" cy="14605"/>
                    <wp:effectExtent l="0" t="0" r="0" b="0"/>
                    <wp:wrapNone/>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D3522"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5560D1E6" wp14:editId="5D348D0A">
                    <wp:simplePos x="0" y="0"/>
                    <wp:positionH relativeFrom="column">
                      <wp:posOffset>723900</wp:posOffset>
                    </wp:positionH>
                    <wp:positionV relativeFrom="paragraph">
                      <wp:posOffset>9285605</wp:posOffset>
                    </wp:positionV>
                    <wp:extent cx="31750" cy="22860"/>
                    <wp:effectExtent l="0" t="0" r="635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A61B8"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7E614968" wp14:editId="5DEE4CE8">
                    <wp:simplePos x="0" y="0"/>
                    <wp:positionH relativeFrom="column">
                      <wp:posOffset>723900</wp:posOffset>
                    </wp:positionH>
                    <wp:positionV relativeFrom="paragraph">
                      <wp:posOffset>9262110</wp:posOffset>
                    </wp:positionV>
                    <wp:extent cx="31750" cy="16510"/>
                    <wp:effectExtent l="0" t="0" r="6350" b="254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9B408"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14:anchorId="754A0759" wp14:editId="20C44BA5">
                    <wp:simplePos x="0" y="0"/>
                    <wp:positionH relativeFrom="column">
                      <wp:posOffset>373380</wp:posOffset>
                    </wp:positionH>
                    <wp:positionV relativeFrom="paragraph">
                      <wp:posOffset>8478520</wp:posOffset>
                    </wp:positionV>
                    <wp:extent cx="50165" cy="46355"/>
                    <wp:effectExtent l="0" t="0" r="6985" b="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EE5DE"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GFYCZZcBAAA5RAAAA4AAAAAAAAAAAAAAAAALgIAAGRycy9lMm9Eb2Mu&#10;eG1sUEsBAi0AFAAGAAgAAAAhAKVSEZ3gAAAACwEAAA8AAAAAAAAAAAAAAAAAtgYAAGRycy9kb3du&#10;cmV2LnhtbFBLBQYAAAAABAAEAPMAAADDBw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3408E92E" wp14:editId="10EFDEAA">
                    <wp:simplePos x="0" y="0"/>
                    <wp:positionH relativeFrom="column">
                      <wp:posOffset>335915</wp:posOffset>
                    </wp:positionH>
                    <wp:positionV relativeFrom="paragraph">
                      <wp:posOffset>8841105</wp:posOffset>
                    </wp:positionV>
                    <wp:extent cx="186055" cy="376555"/>
                    <wp:effectExtent l="0" t="0" r="4445" b="444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176CC"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" o:allowincell="f" stroked="f" strokeweight="0"/>
                </w:pict>
              </mc:Fallback>
            </mc:AlternateContent>
          </w:r>
        </w:p>
      </w:tc>
      <w:tc>
        <w:tcPr>
          <w:tcW w:w="8730" w:type="dxa"/>
          <w:tcBorders>
            <w:bottom w:val="single" w:sz="18" w:space="0" w:color="auto"/>
          </w:tcBorders>
        </w:tcPr>
        <w:p w14:paraId="1F9C423D" w14:textId="42C0E1AD" w:rsidR="00C41FAE" w:rsidRPr="005E2C5E" w:rsidRDefault="00016AF3">
          <w:pPr>
            <w:ind w:left="290"/>
            <w:rPr>
              <w:rFonts w:ascii="Arial" w:hAnsi="Arial" w:cs="Arial"/>
              <w:b/>
              <w:sz w:val="25"/>
              <w:lang w:val="es-ES"/>
            </w:rPr>
          </w:pPr>
          <w:r w:rsidRPr="005E2C5E">
            <w:rPr>
              <w:rFonts w:ascii="Arial" w:hAnsi="Arial" w:cs="Arial"/>
              <w:b/>
              <w:sz w:val="25"/>
              <w:lang w:val="es-ES"/>
            </w:rPr>
            <w:t>ORGANIZACI</w:t>
          </w:r>
          <w:r w:rsidR="009762A5" w:rsidRPr="005E2C5E">
            <w:rPr>
              <w:rFonts w:ascii="Arial" w:hAnsi="Arial" w:cs="Arial"/>
              <w:b/>
              <w:sz w:val="25"/>
              <w:lang w:val="es-ES"/>
            </w:rPr>
            <w:t>Ó</w:t>
          </w:r>
          <w:r w:rsidR="00C41FAE" w:rsidRPr="005E2C5E">
            <w:rPr>
              <w:rFonts w:ascii="Arial" w:hAnsi="Arial" w:cs="Arial"/>
              <w:b/>
              <w:sz w:val="25"/>
              <w:lang w:val="es-ES"/>
            </w:rPr>
            <w:t xml:space="preserve">N DE LOS ESTADOS AMERICANOS </w:t>
          </w:r>
        </w:p>
        <w:p w14:paraId="48A5CFC3" w14:textId="77777777" w:rsidR="00C41FAE" w:rsidRPr="005E2C5E" w:rsidRDefault="00C41FAE">
          <w:pPr>
            <w:ind w:left="290"/>
            <w:rPr>
              <w:rFonts w:ascii="Arial" w:hAnsi="Arial" w:cs="Arial"/>
              <w:b/>
              <w:sz w:val="28"/>
              <w:lang w:val="es-ES"/>
            </w:rPr>
          </w:pPr>
          <w:r w:rsidRPr="005E2C5E">
            <w:rPr>
              <w:rFonts w:ascii="Arial" w:hAnsi="Arial" w:cs="Arial"/>
              <w:b/>
              <w:sz w:val="25"/>
              <w:lang w:val="es-ES"/>
            </w:rPr>
            <w:t>ORGANIZATION OF AMERICAN STATES</w:t>
          </w:r>
          <w:r w:rsidRPr="005E2C5E">
            <w:rPr>
              <w:rFonts w:ascii="Arial" w:hAnsi="Arial" w:cs="Arial"/>
              <w:b/>
              <w:sz w:val="24"/>
              <w:lang w:val="es-ES"/>
            </w:rPr>
            <w:t xml:space="preserve"> </w:t>
          </w:r>
        </w:p>
        <w:p w14:paraId="1C204F1F" w14:textId="77777777" w:rsidR="00C41FAE" w:rsidRPr="005E2C5E" w:rsidRDefault="00C41FAE">
          <w:pPr>
            <w:tabs>
              <w:tab w:val="left" w:pos="8300"/>
            </w:tabs>
            <w:ind w:right="200"/>
            <w:jc w:val="right"/>
            <w:rPr>
              <w:rFonts w:ascii="Arial" w:hAnsi="Arial" w:cs="Arial"/>
              <w:b/>
              <w:sz w:val="24"/>
              <w:lang w:val="es-ES"/>
            </w:rPr>
          </w:pPr>
        </w:p>
        <w:p w14:paraId="1E882597" w14:textId="77777777" w:rsidR="00C41FAE" w:rsidRPr="005E2C5E" w:rsidRDefault="00C41FAE">
          <w:pPr>
            <w:tabs>
              <w:tab w:val="left" w:pos="8300"/>
            </w:tabs>
            <w:ind w:right="200"/>
            <w:jc w:val="right"/>
            <w:rPr>
              <w:rFonts w:ascii="Arial" w:hAnsi="Arial" w:cs="Arial"/>
              <w:b/>
              <w:sz w:val="25"/>
              <w:lang w:val="es-ES"/>
            </w:rPr>
          </w:pPr>
          <w:r w:rsidRPr="005E2C5E">
            <w:rPr>
              <w:rFonts w:ascii="Arial" w:hAnsi="Arial" w:cs="Arial"/>
              <w:b/>
              <w:sz w:val="24"/>
              <w:lang w:val="es-ES"/>
            </w:rPr>
            <w:t>Comisión Interamericana de Telecomunicaciones</w:t>
          </w:r>
        </w:p>
        <w:p w14:paraId="6816D6B6" w14:textId="77777777" w:rsidR="00C41FAE" w:rsidRPr="00DF6653" w:rsidRDefault="00C41FAE">
          <w:pPr>
            <w:tabs>
              <w:tab w:val="left" w:pos="8300"/>
            </w:tabs>
            <w:ind w:right="200"/>
            <w:jc w:val="right"/>
            <w:rPr>
              <w:rFonts w:ascii="ZapfHumnst BT" w:hAnsi="ZapfHumnst BT"/>
              <w:b/>
              <w:sz w:val="28"/>
              <w:lang w:val="es-ES"/>
            </w:rPr>
          </w:pPr>
          <w:r w:rsidRPr="005E2C5E">
            <w:rPr>
              <w:rFonts w:ascii="Arial" w:hAnsi="Arial" w:cs="Arial"/>
              <w:b/>
              <w:sz w:val="24"/>
              <w:lang w:val="es-ES"/>
            </w:rPr>
            <w:t>Inter-American Telecommunication Commission</w:t>
          </w:r>
        </w:p>
      </w:tc>
    </w:tr>
  </w:tbl>
  <w:p w14:paraId="32A0343F" w14:textId="77777777" w:rsidR="00C41FAE" w:rsidRPr="00DF6653" w:rsidRDefault="00C41FAE">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D7FB" w14:textId="44EB4339" w:rsidR="00C41FAE" w:rsidRDefault="00C41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E346EFA"/>
    <w:multiLevelType w:val="hybridMultilevel"/>
    <w:tmpl w:val="948672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12A3A60"/>
    <w:multiLevelType w:val="hybridMultilevel"/>
    <w:tmpl w:val="77880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165CE3"/>
    <w:multiLevelType w:val="hybridMultilevel"/>
    <w:tmpl w:val="1160D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0A5D3A"/>
    <w:multiLevelType w:val="hybridMultilevel"/>
    <w:tmpl w:val="81CE5D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8" w15:restartNumberingAfterBreak="0">
    <w:nsid w:val="67E87491"/>
    <w:multiLevelType w:val="hybridMultilevel"/>
    <w:tmpl w:val="5D143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16cid:durableId="2016498579">
    <w:abstractNumId w:val="0"/>
  </w:num>
  <w:num w:numId="2" w16cid:durableId="169761849">
    <w:abstractNumId w:val="3"/>
  </w:num>
  <w:num w:numId="3" w16cid:durableId="1308049182">
    <w:abstractNumId w:val="9"/>
  </w:num>
  <w:num w:numId="4" w16cid:durableId="2143771804">
    <w:abstractNumId w:val="1"/>
  </w:num>
  <w:num w:numId="5" w16cid:durableId="715591679">
    <w:abstractNumId w:val="7"/>
  </w:num>
  <w:num w:numId="6" w16cid:durableId="1404252677">
    <w:abstractNumId w:val="2"/>
  </w:num>
  <w:num w:numId="7" w16cid:durableId="283922028">
    <w:abstractNumId w:val="6"/>
  </w:num>
  <w:num w:numId="8" w16cid:durableId="1134718603">
    <w:abstractNumId w:val="5"/>
  </w:num>
  <w:num w:numId="9" w16cid:durableId="789979230">
    <w:abstractNumId w:val="8"/>
  </w:num>
  <w:num w:numId="10" w16cid:durableId="14971881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41"/>
    <w:rsid w:val="00016AF3"/>
    <w:rsid w:val="00026279"/>
    <w:rsid w:val="00036C89"/>
    <w:rsid w:val="0004372C"/>
    <w:rsid w:val="00047907"/>
    <w:rsid w:val="00057E4A"/>
    <w:rsid w:val="0006494B"/>
    <w:rsid w:val="00076959"/>
    <w:rsid w:val="00081042"/>
    <w:rsid w:val="00086E61"/>
    <w:rsid w:val="0009082A"/>
    <w:rsid w:val="00092B9A"/>
    <w:rsid w:val="000B75EE"/>
    <w:rsid w:val="000C13F4"/>
    <w:rsid w:val="000C2C82"/>
    <w:rsid w:val="000C4D28"/>
    <w:rsid w:val="000C6C3F"/>
    <w:rsid w:val="000C731E"/>
    <w:rsid w:val="000D09FC"/>
    <w:rsid w:val="000E0D26"/>
    <w:rsid w:val="000E519C"/>
    <w:rsid w:val="000F0EB4"/>
    <w:rsid w:val="000F672B"/>
    <w:rsid w:val="001042D1"/>
    <w:rsid w:val="00130557"/>
    <w:rsid w:val="0013634A"/>
    <w:rsid w:val="00137555"/>
    <w:rsid w:val="0014316F"/>
    <w:rsid w:val="00147B70"/>
    <w:rsid w:val="001566F2"/>
    <w:rsid w:val="00162583"/>
    <w:rsid w:val="00164759"/>
    <w:rsid w:val="001656B9"/>
    <w:rsid w:val="001E2B56"/>
    <w:rsid w:val="001F50BD"/>
    <w:rsid w:val="00204E6D"/>
    <w:rsid w:val="00211705"/>
    <w:rsid w:val="00214619"/>
    <w:rsid w:val="002178DF"/>
    <w:rsid w:val="0023293F"/>
    <w:rsid w:val="00233132"/>
    <w:rsid w:val="00237333"/>
    <w:rsid w:val="0024202E"/>
    <w:rsid w:val="0025504C"/>
    <w:rsid w:val="002563D3"/>
    <w:rsid w:val="002909CF"/>
    <w:rsid w:val="00296A2C"/>
    <w:rsid w:val="002A3F6C"/>
    <w:rsid w:val="002A5CEE"/>
    <w:rsid w:val="002A6325"/>
    <w:rsid w:val="002B4C07"/>
    <w:rsid w:val="002C7FE0"/>
    <w:rsid w:val="002E5045"/>
    <w:rsid w:val="003001F7"/>
    <w:rsid w:val="003004BA"/>
    <w:rsid w:val="00300D62"/>
    <w:rsid w:val="00302643"/>
    <w:rsid w:val="003154A6"/>
    <w:rsid w:val="0031615C"/>
    <w:rsid w:val="0032400A"/>
    <w:rsid w:val="003342DB"/>
    <w:rsid w:val="0033791E"/>
    <w:rsid w:val="00346D73"/>
    <w:rsid w:val="00357A92"/>
    <w:rsid w:val="003701A5"/>
    <w:rsid w:val="00375A06"/>
    <w:rsid w:val="00394C7C"/>
    <w:rsid w:val="003B261F"/>
    <w:rsid w:val="003B26CD"/>
    <w:rsid w:val="003B7230"/>
    <w:rsid w:val="003E6E3C"/>
    <w:rsid w:val="003F742C"/>
    <w:rsid w:val="00402F86"/>
    <w:rsid w:val="00426E20"/>
    <w:rsid w:val="0045478F"/>
    <w:rsid w:val="004566B8"/>
    <w:rsid w:val="004571A3"/>
    <w:rsid w:val="0046035C"/>
    <w:rsid w:val="00471B76"/>
    <w:rsid w:val="00482D07"/>
    <w:rsid w:val="004A7659"/>
    <w:rsid w:val="004B39D5"/>
    <w:rsid w:val="004B6599"/>
    <w:rsid w:val="004D3BDE"/>
    <w:rsid w:val="004D474D"/>
    <w:rsid w:val="004D7CD7"/>
    <w:rsid w:val="004E2D44"/>
    <w:rsid w:val="004E3FEB"/>
    <w:rsid w:val="004E6964"/>
    <w:rsid w:val="004E74AB"/>
    <w:rsid w:val="004F7C58"/>
    <w:rsid w:val="005016C1"/>
    <w:rsid w:val="00514675"/>
    <w:rsid w:val="005156A2"/>
    <w:rsid w:val="005165B4"/>
    <w:rsid w:val="005175FB"/>
    <w:rsid w:val="005308BE"/>
    <w:rsid w:val="005315BE"/>
    <w:rsid w:val="00532018"/>
    <w:rsid w:val="005426D6"/>
    <w:rsid w:val="00562064"/>
    <w:rsid w:val="0056357A"/>
    <w:rsid w:val="005657E8"/>
    <w:rsid w:val="00566EBA"/>
    <w:rsid w:val="005863A9"/>
    <w:rsid w:val="005962C2"/>
    <w:rsid w:val="005A57AD"/>
    <w:rsid w:val="005A761A"/>
    <w:rsid w:val="005B391F"/>
    <w:rsid w:val="005B5405"/>
    <w:rsid w:val="005B6C85"/>
    <w:rsid w:val="005C0186"/>
    <w:rsid w:val="005C4FF3"/>
    <w:rsid w:val="005C60FF"/>
    <w:rsid w:val="005E2C5E"/>
    <w:rsid w:val="005F18B0"/>
    <w:rsid w:val="0060744F"/>
    <w:rsid w:val="00613F93"/>
    <w:rsid w:val="00620569"/>
    <w:rsid w:val="00620A43"/>
    <w:rsid w:val="006445B1"/>
    <w:rsid w:val="0064537A"/>
    <w:rsid w:val="00662EE2"/>
    <w:rsid w:val="00677C02"/>
    <w:rsid w:val="00686D89"/>
    <w:rsid w:val="00696717"/>
    <w:rsid w:val="006C2785"/>
    <w:rsid w:val="006D315B"/>
    <w:rsid w:val="006D63BD"/>
    <w:rsid w:val="006E16A4"/>
    <w:rsid w:val="006E58BC"/>
    <w:rsid w:val="006F3040"/>
    <w:rsid w:val="006F3C92"/>
    <w:rsid w:val="006F721E"/>
    <w:rsid w:val="00702D3C"/>
    <w:rsid w:val="007043EB"/>
    <w:rsid w:val="007122E0"/>
    <w:rsid w:val="007242C3"/>
    <w:rsid w:val="00730CFE"/>
    <w:rsid w:val="00762C5B"/>
    <w:rsid w:val="00784CBA"/>
    <w:rsid w:val="007907D1"/>
    <w:rsid w:val="00794C43"/>
    <w:rsid w:val="007A0652"/>
    <w:rsid w:val="007C4674"/>
    <w:rsid w:val="007C70B1"/>
    <w:rsid w:val="007D7469"/>
    <w:rsid w:val="007E4146"/>
    <w:rsid w:val="00804806"/>
    <w:rsid w:val="00811349"/>
    <w:rsid w:val="008233C2"/>
    <w:rsid w:val="00823D27"/>
    <w:rsid w:val="00825084"/>
    <w:rsid w:val="0082548B"/>
    <w:rsid w:val="008264D0"/>
    <w:rsid w:val="008325E6"/>
    <w:rsid w:val="00835CCA"/>
    <w:rsid w:val="00840D79"/>
    <w:rsid w:val="0084584A"/>
    <w:rsid w:val="0084784C"/>
    <w:rsid w:val="00855704"/>
    <w:rsid w:val="00857D7C"/>
    <w:rsid w:val="008819AD"/>
    <w:rsid w:val="00882A3D"/>
    <w:rsid w:val="0089234B"/>
    <w:rsid w:val="00897200"/>
    <w:rsid w:val="008A086E"/>
    <w:rsid w:val="008A61D6"/>
    <w:rsid w:val="008B09D3"/>
    <w:rsid w:val="008B66E9"/>
    <w:rsid w:val="008C70E1"/>
    <w:rsid w:val="008E6A3E"/>
    <w:rsid w:val="008F141E"/>
    <w:rsid w:val="008F2196"/>
    <w:rsid w:val="008F3B16"/>
    <w:rsid w:val="00930366"/>
    <w:rsid w:val="0095657A"/>
    <w:rsid w:val="0096041A"/>
    <w:rsid w:val="009762A5"/>
    <w:rsid w:val="0097711D"/>
    <w:rsid w:val="009801AE"/>
    <w:rsid w:val="00982377"/>
    <w:rsid w:val="0098614F"/>
    <w:rsid w:val="00986B91"/>
    <w:rsid w:val="00990543"/>
    <w:rsid w:val="0099403D"/>
    <w:rsid w:val="00994A36"/>
    <w:rsid w:val="009B3A10"/>
    <w:rsid w:val="009B3A2A"/>
    <w:rsid w:val="009B7B6A"/>
    <w:rsid w:val="009C5E90"/>
    <w:rsid w:val="009D72D9"/>
    <w:rsid w:val="009E427F"/>
    <w:rsid w:val="009E646F"/>
    <w:rsid w:val="009F3654"/>
    <w:rsid w:val="009F4927"/>
    <w:rsid w:val="00A0122F"/>
    <w:rsid w:val="00A208E8"/>
    <w:rsid w:val="00A22789"/>
    <w:rsid w:val="00A339A9"/>
    <w:rsid w:val="00A4159C"/>
    <w:rsid w:val="00A51807"/>
    <w:rsid w:val="00A6371A"/>
    <w:rsid w:val="00A66528"/>
    <w:rsid w:val="00A723E4"/>
    <w:rsid w:val="00A802D5"/>
    <w:rsid w:val="00A90CF2"/>
    <w:rsid w:val="00AA2672"/>
    <w:rsid w:val="00AB17C2"/>
    <w:rsid w:val="00AD02E6"/>
    <w:rsid w:val="00AD1772"/>
    <w:rsid w:val="00AD4814"/>
    <w:rsid w:val="00B14D5A"/>
    <w:rsid w:val="00B3194A"/>
    <w:rsid w:val="00B335FC"/>
    <w:rsid w:val="00B42446"/>
    <w:rsid w:val="00B47FB3"/>
    <w:rsid w:val="00B52A9B"/>
    <w:rsid w:val="00B63DC3"/>
    <w:rsid w:val="00B64C14"/>
    <w:rsid w:val="00B71FAB"/>
    <w:rsid w:val="00B801F7"/>
    <w:rsid w:val="00B83494"/>
    <w:rsid w:val="00B83F1B"/>
    <w:rsid w:val="00B86B4E"/>
    <w:rsid w:val="00B91A68"/>
    <w:rsid w:val="00BA198E"/>
    <w:rsid w:val="00BA6816"/>
    <w:rsid w:val="00BC317B"/>
    <w:rsid w:val="00BE7F0C"/>
    <w:rsid w:val="00BF172C"/>
    <w:rsid w:val="00BF5112"/>
    <w:rsid w:val="00C05C35"/>
    <w:rsid w:val="00C14398"/>
    <w:rsid w:val="00C31B62"/>
    <w:rsid w:val="00C407E9"/>
    <w:rsid w:val="00C41FAE"/>
    <w:rsid w:val="00C439D7"/>
    <w:rsid w:val="00C4414D"/>
    <w:rsid w:val="00C47412"/>
    <w:rsid w:val="00C52356"/>
    <w:rsid w:val="00C57390"/>
    <w:rsid w:val="00C81119"/>
    <w:rsid w:val="00C81C11"/>
    <w:rsid w:val="00C86B9C"/>
    <w:rsid w:val="00C9294D"/>
    <w:rsid w:val="00CB078D"/>
    <w:rsid w:val="00CD1C09"/>
    <w:rsid w:val="00CD72CC"/>
    <w:rsid w:val="00CF50F0"/>
    <w:rsid w:val="00CF7528"/>
    <w:rsid w:val="00D02140"/>
    <w:rsid w:val="00D10A19"/>
    <w:rsid w:val="00D26C36"/>
    <w:rsid w:val="00D66DC4"/>
    <w:rsid w:val="00D713E1"/>
    <w:rsid w:val="00D77DBA"/>
    <w:rsid w:val="00D80FAB"/>
    <w:rsid w:val="00D87E29"/>
    <w:rsid w:val="00D96B94"/>
    <w:rsid w:val="00DA6101"/>
    <w:rsid w:val="00DC4830"/>
    <w:rsid w:val="00DF3FB6"/>
    <w:rsid w:val="00DF6653"/>
    <w:rsid w:val="00E06311"/>
    <w:rsid w:val="00E16756"/>
    <w:rsid w:val="00E31DA9"/>
    <w:rsid w:val="00E41667"/>
    <w:rsid w:val="00E55E58"/>
    <w:rsid w:val="00E648C4"/>
    <w:rsid w:val="00E70641"/>
    <w:rsid w:val="00E71456"/>
    <w:rsid w:val="00E72C19"/>
    <w:rsid w:val="00E81AD8"/>
    <w:rsid w:val="00E879C2"/>
    <w:rsid w:val="00EC64B5"/>
    <w:rsid w:val="00ED49AA"/>
    <w:rsid w:val="00EE0B1D"/>
    <w:rsid w:val="00EE1033"/>
    <w:rsid w:val="00EE239A"/>
    <w:rsid w:val="00EE3CD2"/>
    <w:rsid w:val="00F145AA"/>
    <w:rsid w:val="00F20197"/>
    <w:rsid w:val="00F259D9"/>
    <w:rsid w:val="00F41393"/>
    <w:rsid w:val="00F4553D"/>
    <w:rsid w:val="00F47D4C"/>
    <w:rsid w:val="00F53F7C"/>
    <w:rsid w:val="00F5650B"/>
    <w:rsid w:val="00F62A22"/>
    <w:rsid w:val="00F63C10"/>
    <w:rsid w:val="00F74D29"/>
    <w:rsid w:val="00FA216B"/>
    <w:rsid w:val="00FB5584"/>
    <w:rsid w:val="00FD0FAA"/>
    <w:rsid w:val="00FE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79AF4"/>
  <w15:chartTrackingRefBased/>
  <w15:docId w15:val="{A998AC46-540A-4E00-8601-212D15E2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3240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32400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qFormat/>
    <w:rsid w:val="00FA216B"/>
    <w:pPr>
      <w:keepNext/>
      <w:outlineLvl w:val="2"/>
    </w:pPr>
    <w:rPr>
      <w:b/>
      <w:sz w:val="22"/>
      <w:lang w:val="es-ES_tradnl" w:eastAsia="es-ES"/>
    </w:rPr>
  </w:style>
  <w:style w:type="paragraph" w:styleId="Heading4">
    <w:name w:val="heading 4"/>
    <w:basedOn w:val="Normal"/>
    <w:next w:val="Normal"/>
    <w:link w:val="Heading4Char"/>
    <w:semiHidden/>
    <w:unhideWhenUsed/>
    <w:qFormat/>
    <w:rsid w:val="000C2C82"/>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semiHidden/>
    <w:unhideWhenUsed/>
    <w:qFormat/>
    <w:rsid w:val="0032400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character" w:styleId="Emphasis">
    <w:name w:val="Emphasis"/>
    <w:uiPriority w:val="20"/>
    <w:qFormat/>
    <w:rsid w:val="00857D7C"/>
    <w:rPr>
      <w:i/>
      <w:iCs/>
    </w:rPr>
  </w:style>
  <w:style w:type="table" w:styleId="TableGrid">
    <w:name w:val="Table Grid"/>
    <w:basedOn w:val="TableNormal"/>
    <w:rsid w:val="002B4C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32400A"/>
    <w:rPr>
      <w:rFonts w:asciiTheme="majorHAnsi" w:eastAsiaTheme="majorEastAsia" w:hAnsiTheme="majorHAnsi" w:cstheme="majorBidi"/>
      <w:color w:val="2E74B5" w:themeColor="accent1" w:themeShade="BF"/>
      <w:sz w:val="26"/>
      <w:szCs w:val="26"/>
    </w:rPr>
  </w:style>
  <w:style w:type="character" w:customStyle="1" w:styleId="Heading8Char">
    <w:name w:val="Heading 8 Char"/>
    <w:basedOn w:val="DefaultParagraphFont"/>
    <w:link w:val="Heading8"/>
    <w:semiHidden/>
    <w:rsid w:val="0032400A"/>
    <w:rPr>
      <w:rFonts w:asciiTheme="majorHAnsi" w:eastAsiaTheme="majorEastAsia" w:hAnsiTheme="majorHAnsi" w:cstheme="majorBidi"/>
      <w:color w:val="272727" w:themeColor="text1" w:themeTint="D8"/>
      <w:sz w:val="21"/>
      <w:szCs w:val="21"/>
    </w:rPr>
  </w:style>
  <w:style w:type="character" w:customStyle="1" w:styleId="Heading1Char">
    <w:name w:val="Heading 1 Char"/>
    <w:basedOn w:val="DefaultParagraphFont"/>
    <w:link w:val="Heading1"/>
    <w:rsid w:val="0032400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B261F"/>
    <w:pPr>
      <w:ind w:left="720"/>
      <w:contextualSpacing/>
    </w:pPr>
  </w:style>
  <w:style w:type="paragraph" w:styleId="FootnoteText">
    <w:name w:val="footnote text"/>
    <w:basedOn w:val="Normal"/>
    <w:link w:val="FootnoteTextChar"/>
    <w:rsid w:val="00B14D5A"/>
  </w:style>
  <w:style w:type="character" w:customStyle="1" w:styleId="FootnoteTextChar">
    <w:name w:val="Footnote Text Char"/>
    <w:basedOn w:val="DefaultParagraphFont"/>
    <w:link w:val="FootnoteText"/>
    <w:rsid w:val="00B14D5A"/>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qFormat/>
    <w:rsid w:val="00B14D5A"/>
    <w:rPr>
      <w:position w:val="6"/>
      <w:sz w:val="18"/>
    </w:rPr>
  </w:style>
  <w:style w:type="character" w:customStyle="1" w:styleId="Artref">
    <w:name w:val="Art_ref"/>
    <w:basedOn w:val="DefaultParagraphFont"/>
    <w:rsid w:val="00B14D5A"/>
  </w:style>
  <w:style w:type="character" w:customStyle="1" w:styleId="Heading4Char">
    <w:name w:val="Heading 4 Char"/>
    <w:basedOn w:val="DefaultParagraphFont"/>
    <w:link w:val="Heading4"/>
    <w:semiHidden/>
    <w:rsid w:val="000C2C8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rsid w:val="006F3C92"/>
    <w:rPr>
      <w:sz w:val="16"/>
      <w:szCs w:val="16"/>
    </w:rPr>
  </w:style>
  <w:style w:type="paragraph" w:styleId="CommentText">
    <w:name w:val="annotation text"/>
    <w:basedOn w:val="Normal"/>
    <w:link w:val="CommentTextChar"/>
    <w:rsid w:val="006F3C92"/>
  </w:style>
  <w:style w:type="character" w:customStyle="1" w:styleId="CommentTextChar">
    <w:name w:val="Comment Text Char"/>
    <w:basedOn w:val="DefaultParagraphFont"/>
    <w:link w:val="CommentText"/>
    <w:rsid w:val="006F3C92"/>
  </w:style>
  <w:style w:type="paragraph" w:styleId="CommentSubject">
    <w:name w:val="annotation subject"/>
    <w:basedOn w:val="CommentText"/>
    <w:next w:val="CommentText"/>
    <w:link w:val="CommentSubjectChar"/>
    <w:semiHidden/>
    <w:unhideWhenUsed/>
    <w:rsid w:val="006F3C92"/>
    <w:rPr>
      <w:b/>
      <w:bCs/>
    </w:rPr>
  </w:style>
  <w:style w:type="character" w:customStyle="1" w:styleId="CommentSubjectChar">
    <w:name w:val="Comment Subject Char"/>
    <w:basedOn w:val="CommentTextChar"/>
    <w:link w:val="CommentSubject"/>
    <w:semiHidden/>
    <w:rsid w:val="006F3C92"/>
    <w:rPr>
      <w:b/>
      <w:bCs/>
    </w:rPr>
  </w:style>
  <w:style w:type="paragraph" w:styleId="Revision">
    <w:name w:val="Revision"/>
    <w:hidden/>
    <w:uiPriority w:val="99"/>
    <w:semiHidden/>
    <w:rsid w:val="006F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661714">
      <w:bodyDiv w:val="1"/>
      <w:marLeft w:val="0"/>
      <w:marRight w:val="0"/>
      <w:marTop w:val="0"/>
      <w:marBottom w:val="0"/>
      <w:divBdr>
        <w:top w:val="none" w:sz="0" w:space="0" w:color="auto"/>
        <w:left w:val="none" w:sz="0" w:space="0" w:color="auto"/>
        <w:bottom w:val="none" w:sz="0" w:space="0" w:color="auto"/>
        <w:right w:val="none" w:sz="0" w:space="0" w:color="auto"/>
      </w:divBdr>
    </w:div>
    <w:div w:id="983855120">
      <w:bodyDiv w:val="1"/>
      <w:marLeft w:val="0"/>
      <w:marRight w:val="0"/>
      <w:marTop w:val="0"/>
      <w:marBottom w:val="0"/>
      <w:divBdr>
        <w:top w:val="none" w:sz="0" w:space="0" w:color="auto"/>
        <w:left w:val="none" w:sz="0" w:space="0" w:color="auto"/>
        <w:bottom w:val="none" w:sz="0" w:space="0" w:color="auto"/>
        <w:right w:val="none" w:sz="0" w:space="0" w:color="auto"/>
      </w:divBdr>
    </w:div>
    <w:div w:id="148512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itu.int/md/R16-WRC19-C-0573/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itu.int/md/R16-WRC19-C-0550/en" TargetMode="External"/><Relationship Id="rId2" Type="http://schemas.openxmlformats.org/officeDocument/2006/relationships/customXml" Target="../customXml/item2.xml"/><Relationship Id="rId16" Type="http://schemas.openxmlformats.org/officeDocument/2006/relationships/hyperlink" Target="https://www.itu.int/md/R16-WRC19-C-0012/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dms_pub/itu-r/md/16/wrc19/c/R16-WRC19-C-0011!A13-A1!MSW-E.docx" TargetMode="Externa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6" ma:contentTypeDescription="Create a new document." ma:contentTypeScope="" ma:versionID="bb2e871aee98d4bbaaa740b9ab2b7d20">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a6ee19385245ceffda334847d79f7b70"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dd04142-626b-4bce-939e-03e3b4f6e5e7}"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F3F246-BE56-4F46-9685-7782C65E9C58}"/>
</file>

<file path=customXml/itemProps2.xml><?xml version="1.0" encoding="utf-8"?>
<ds:datastoreItem xmlns:ds="http://schemas.openxmlformats.org/officeDocument/2006/customXml" ds:itemID="{FDEDBC14-F958-4A1A-9EC1-F122AF00C82F}">
  <ds:schemaRefs>
    <ds:schemaRef ds:uri="http://schemas.microsoft.com/sharepoint/v3/contenttype/forms"/>
  </ds:schemaRefs>
</ds:datastoreItem>
</file>

<file path=customXml/itemProps3.xml><?xml version="1.0" encoding="utf-8"?>
<ds:datastoreItem xmlns:ds="http://schemas.openxmlformats.org/officeDocument/2006/customXml" ds:itemID="{C9BD1658-4BA8-4BCA-A275-59E7809E9B0C}">
  <ds:schemaRefs>
    <ds:schemaRef ds:uri="http://schemas.openxmlformats.org/officeDocument/2006/bibliography"/>
  </ds:schemaRefs>
</ds:datastoreItem>
</file>

<file path=customXml/itemProps4.xml><?xml version="1.0" encoding="utf-8"?>
<ds:datastoreItem xmlns:ds="http://schemas.openxmlformats.org/officeDocument/2006/customXml" ds:itemID="{B1FA1F4B-FA6A-4927-9AC3-EC77D6ADCCC9}">
  <ds:schemaRefs>
    <ds:schemaRef ds:uri="http://purl.org/dc/elements/1.1/"/>
    <ds:schemaRef ds:uri="http://schemas.microsoft.com/office/2006/metadata/properties"/>
    <ds:schemaRef ds:uri="http://purl.org/dc/dcmitype/"/>
    <ds:schemaRef ds:uri="730f74aa-8393-4aa5-b2f8-3c7aae566a68"/>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5c0ed026-2af2-4bd4-84a6-7e6cd39ea34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1598</Words>
  <Characters>8482</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PROPOSALS FOR THE WORK OF THE CONFERENCE AGENDA ITEM 9.2 - No. 21.5</vt:lpstr>
    </vt:vector>
  </TitlesOfParts>
  <Company/>
  <LinksUpToDate>false</LinksUpToDate>
  <CharactersWithSpaces>10060</CharactersWithSpaces>
  <SharedDoc>false</SharedDoc>
  <HLinks>
    <vt:vector size="6" baseType="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THE WORK OF THE CONFERENCE AGENDA ITEM 9.2 - No. 21.5</dc:title>
  <dc:subject>3.1 (SGT1)</dc:subject>
  <dc:creator>USA</dc:creator>
  <cp:keywords/>
  <dc:description>VB</dc:description>
  <cp:lastModifiedBy>Perdomo, Katherine</cp:lastModifiedBy>
  <cp:revision>9</cp:revision>
  <cp:lastPrinted>1999-10-11T18:56:00Z</cp:lastPrinted>
  <dcterms:created xsi:type="dcterms:W3CDTF">2023-08-14T14:02:00Z</dcterms:created>
  <dcterms:modified xsi:type="dcterms:W3CDTF">2023-08-14T14:06:00Z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_dlc_DocIdItemGuid">
    <vt:lpwstr>76c4f874-c852-4c41-b104-d1ca791fade0</vt:lpwstr>
  </property>
  <property fmtid="{D5CDD505-2E9C-101B-9397-08002B2CF9AE}" pid="4" name="PublishingExpirationDate">
    <vt:lpwstr/>
  </property>
  <property fmtid="{D5CDD505-2E9C-101B-9397-08002B2CF9AE}" pid="5" name="PublishingStartDate">
    <vt:lpwstr/>
  </property>
  <property fmtid="{D5CDD505-2E9C-101B-9397-08002B2CF9AE}" pid="6" name="Order">
    <vt:r8>33091800</vt:r8>
  </property>
  <property fmtid="{D5CDD505-2E9C-101B-9397-08002B2CF9AE}" pid="7" name="MediaServiceImageTags">
    <vt:lpwstr/>
  </property>
  <property fmtid="{D5CDD505-2E9C-101B-9397-08002B2CF9AE}" pid="8" name="MSIP_Label_1665d9ee-429a-4d5f-97cc-cfb56e044a6e_Enabled">
    <vt:lpwstr>true</vt:lpwstr>
  </property>
  <property fmtid="{D5CDD505-2E9C-101B-9397-08002B2CF9AE}" pid="9" name="MSIP_Label_1665d9ee-429a-4d5f-97cc-cfb56e044a6e_SetDate">
    <vt:lpwstr>2023-07-28T21:12:41Z</vt:lpwstr>
  </property>
  <property fmtid="{D5CDD505-2E9C-101B-9397-08002B2CF9AE}" pid="10" name="MSIP_Label_1665d9ee-429a-4d5f-97cc-cfb56e044a6e_Method">
    <vt:lpwstr>Privileged</vt:lpwstr>
  </property>
  <property fmtid="{D5CDD505-2E9C-101B-9397-08002B2CF9AE}" pid="11" name="MSIP_Label_1665d9ee-429a-4d5f-97cc-cfb56e044a6e_Name">
    <vt:lpwstr>1665d9ee-429a-4d5f-97cc-cfb56e044a6e</vt:lpwstr>
  </property>
  <property fmtid="{D5CDD505-2E9C-101B-9397-08002B2CF9AE}" pid="12" name="MSIP_Label_1665d9ee-429a-4d5f-97cc-cfb56e044a6e_SiteId">
    <vt:lpwstr>66cf5074-5afe-48d1-a691-a12b2121f44b</vt:lpwstr>
  </property>
  <property fmtid="{D5CDD505-2E9C-101B-9397-08002B2CF9AE}" pid="13" name="MSIP_Label_1665d9ee-429a-4d5f-97cc-cfb56e044a6e_ActionId">
    <vt:lpwstr>d65d3e80-ee19-4ac2-9935-c2b2ff79a86a</vt:lpwstr>
  </property>
  <property fmtid="{D5CDD505-2E9C-101B-9397-08002B2CF9AE}" pid="14" name="MSIP_Label_1665d9ee-429a-4d5f-97cc-cfb56e044a6e_ContentBits">
    <vt:lpwstr>0</vt:lpwstr>
  </property>
</Properties>
</file>