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50" w:type="dxa"/>
        <w:tblInd w:w="-450" w:type="dxa"/>
        <w:tblLayout w:type="fixed"/>
        <w:tblCellMar>
          <w:left w:w="70" w:type="dxa"/>
          <w:right w:w="70" w:type="dxa"/>
        </w:tblCellMar>
        <w:tblLook w:val="0000" w:firstRow="0" w:lastRow="0" w:firstColumn="0" w:lastColumn="0" w:noHBand="0" w:noVBand="0"/>
      </w:tblPr>
      <w:tblGrid>
        <w:gridCol w:w="90"/>
        <w:gridCol w:w="1557"/>
        <w:gridCol w:w="4923"/>
        <w:gridCol w:w="2211"/>
        <w:gridCol w:w="1669"/>
      </w:tblGrid>
      <w:tr w:rsidR="00DF6653" w:rsidRPr="009B3A2A" w14:paraId="5654DF36" w14:textId="77777777" w:rsidTr="00BB75F2">
        <w:trPr>
          <w:trHeight w:val="621"/>
        </w:trPr>
        <w:tc>
          <w:tcPr>
            <w:tcW w:w="6570" w:type="dxa"/>
            <w:gridSpan w:val="3"/>
          </w:tcPr>
          <w:p w14:paraId="5F023ABD" w14:textId="77777777" w:rsidR="00602931" w:rsidRPr="00787930" w:rsidRDefault="00602931" w:rsidP="00602931">
            <w:pPr>
              <w:rPr>
                <w:b/>
                <w:sz w:val="22"/>
                <w:szCs w:val="22"/>
              </w:rPr>
            </w:pPr>
            <w:r>
              <w:rPr>
                <w:b/>
                <w:sz w:val="22"/>
                <w:szCs w:val="22"/>
              </w:rPr>
              <w:t xml:space="preserve">44 </w:t>
            </w:r>
            <w:r w:rsidRPr="00787930">
              <w:rPr>
                <w:b/>
                <w:sz w:val="22"/>
                <w:szCs w:val="22"/>
              </w:rPr>
              <w:t>MEETING OF PERMANENT</w:t>
            </w:r>
          </w:p>
          <w:p w14:paraId="739454FA" w14:textId="77777777" w:rsidR="00602931" w:rsidRPr="00787930" w:rsidRDefault="00602931" w:rsidP="00602931">
            <w:pPr>
              <w:rPr>
                <w:b/>
                <w:sz w:val="22"/>
                <w:szCs w:val="22"/>
              </w:rPr>
            </w:pPr>
            <w:r w:rsidRPr="00787930">
              <w:rPr>
                <w:b/>
                <w:sz w:val="22"/>
                <w:szCs w:val="22"/>
              </w:rPr>
              <w:t>CONSULTATIVE COMMITTEE II:</w:t>
            </w:r>
          </w:p>
          <w:p w14:paraId="1C8CDF60" w14:textId="77777777" w:rsidR="00602931" w:rsidRPr="00092B9A" w:rsidRDefault="00602931" w:rsidP="00602931">
            <w:pPr>
              <w:rPr>
                <w:b/>
                <w:sz w:val="22"/>
                <w:szCs w:val="22"/>
              </w:rPr>
            </w:pPr>
            <w:r w:rsidRPr="00787930">
              <w:rPr>
                <w:b/>
                <w:sz w:val="22"/>
                <w:szCs w:val="22"/>
              </w:rPr>
              <w:t>RADIOCOMMUNICATIONS</w:t>
            </w:r>
          </w:p>
          <w:p w14:paraId="63623692" w14:textId="77777777" w:rsidR="00602931" w:rsidRPr="00787930" w:rsidRDefault="00602931" w:rsidP="00602931">
            <w:pPr>
              <w:rPr>
                <w:b/>
                <w:sz w:val="22"/>
                <w:szCs w:val="22"/>
              </w:rPr>
            </w:pPr>
            <w:r>
              <w:rPr>
                <w:b/>
                <w:sz w:val="22"/>
                <w:szCs w:val="22"/>
              </w:rPr>
              <w:t xml:space="preserve">September 23 to 27, </w:t>
            </w:r>
            <w:r w:rsidRPr="00787930">
              <w:rPr>
                <w:b/>
                <w:sz w:val="22"/>
                <w:szCs w:val="22"/>
              </w:rPr>
              <w:t>202</w:t>
            </w:r>
            <w:r>
              <w:rPr>
                <w:b/>
                <w:sz w:val="22"/>
                <w:szCs w:val="22"/>
              </w:rPr>
              <w:t>4</w:t>
            </w:r>
          </w:p>
          <w:p w14:paraId="04307E7E" w14:textId="49D470EE" w:rsidR="00DF6653" w:rsidRPr="00F825EB" w:rsidRDefault="00602931" w:rsidP="00602931">
            <w:pPr>
              <w:rPr>
                <w:b/>
                <w:iCs/>
                <w:sz w:val="22"/>
                <w:szCs w:val="22"/>
              </w:rPr>
            </w:pPr>
            <w:r w:rsidRPr="00E750BB">
              <w:rPr>
                <w:b/>
                <w:color w:val="000000" w:themeColor="text1"/>
                <w:sz w:val="22"/>
                <w:szCs w:val="22"/>
              </w:rPr>
              <w:t>Merida</w:t>
            </w:r>
            <w:r w:rsidRPr="00F825EB">
              <w:rPr>
                <w:b/>
                <w:sz w:val="22"/>
                <w:szCs w:val="22"/>
              </w:rPr>
              <w:t xml:space="preserve">, </w:t>
            </w:r>
            <w:r>
              <w:rPr>
                <w:b/>
                <w:sz w:val="22"/>
                <w:szCs w:val="22"/>
              </w:rPr>
              <w:t>Mexico</w:t>
            </w:r>
          </w:p>
        </w:tc>
        <w:tc>
          <w:tcPr>
            <w:tcW w:w="3880" w:type="dxa"/>
            <w:gridSpan w:val="2"/>
          </w:tcPr>
          <w:p w14:paraId="259B71E9" w14:textId="45367881" w:rsidR="006D29DC" w:rsidRPr="006E1144" w:rsidRDefault="006D29DC" w:rsidP="006D29DC">
            <w:pPr>
              <w:rPr>
                <w:b/>
                <w:sz w:val="22"/>
                <w:szCs w:val="22"/>
                <w:lang w:val="pt-BR"/>
              </w:rPr>
            </w:pPr>
            <w:r w:rsidRPr="00C53AA3">
              <w:rPr>
                <w:b/>
                <w:sz w:val="22"/>
                <w:szCs w:val="22"/>
              </w:rPr>
              <w:t xml:space="preserve">CITEL/GT/CMR-27/doc. </w:t>
            </w:r>
            <w:r>
              <w:rPr>
                <w:b/>
                <w:sz w:val="22"/>
                <w:szCs w:val="22"/>
                <w:highlight w:val="yellow"/>
              </w:rPr>
              <w:fldChar w:fldCharType="begin"/>
            </w:r>
            <w:r>
              <w:rPr>
                <w:b/>
                <w:sz w:val="22"/>
                <w:szCs w:val="22"/>
                <w:highlight w:val="yellow"/>
              </w:rPr>
              <w:instrText xml:space="preserve"> MACROBUTTON  AddFromFile "[Doc. No.]" </w:instrText>
            </w:r>
            <w:r>
              <w:rPr>
                <w:b/>
                <w:sz w:val="22"/>
                <w:szCs w:val="22"/>
                <w:highlight w:val="yellow"/>
              </w:rPr>
              <w:fldChar w:fldCharType="end"/>
            </w:r>
            <w:r w:rsidRPr="009209DD">
              <w:rPr>
                <w:b/>
                <w:snapToGrid w:val="0"/>
                <w:sz w:val="22"/>
                <w:szCs w:val="22"/>
                <w:lang w:val="pt-BR"/>
              </w:rPr>
              <w:t>/</w:t>
            </w:r>
            <w:r w:rsidRPr="006E1144">
              <w:rPr>
                <w:b/>
                <w:snapToGrid w:val="0"/>
                <w:sz w:val="22"/>
                <w:szCs w:val="22"/>
                <w:lang w:val="pt-BR"/>
              </w:rPr>
              <w:t>2</w:t>
            </w:r>
            <w:r w:rsidR="002F7DBB">
              <w:rPr>
                <w:b/>
                <w:snapToGrid w:val="0"/>
                <w:sz w:val="22"/>
                <w:szCs w:val="22"/>
                <w:lang w:val="pt-BR"/>
              </w:rPr>
              <w:t>4</w:t>
            </w:r>
          </w:p>
          <w:p w14:paraId="1EB1E542" w14:textId="02A9A6EA" w:rsidR="006D29DC" w:rsidRDefault="006D29DC" w:rsidP="00757F6D">
            <w:pPr>
              <w:rPr>
                <w:b/>
                <w:sz w:val="22"/>
                <w:szCs w:val="22"/>
              </w:rPr>
            </w:pPr>
            <w:r>
              <w:rPr>
                <w:b/>
                <w:sz w:val="22"/>
                <w:szCs w:val="22"/>
              </w:rPr>
              <w:fldChar w:fldCharType="begin"/>
            </w:r>
            <w:r>
              <w:rPr>
                <w:b/>
                <w:sz w:val="22"/>
                <w:szCs w:val="22"/>
              </w:rPr>
              <w:instrText xml:space="preserve"> DATE \@ "MMMM d, yyyy" </w:instrText>
            </w:r>
            <w:r>
              <w:rPr>
                <w:b/>
                <w:sz w:val="22"/>
                <w:szCs w:val="22"/>
              </w:rPr>
              <w:fldChar w:fldCharType="separate"/>
            </w:r>
            <w:r w:rsidR="004F4B89">
              <w:rPr>
                <w:b/>
                <w:noProof/>
                <w:sz w:val="22"/>
                <w:szCs w:val="22"/>
              </w:rPr>
              <w:t>August 30, 2024</w:t>
            </w:r>
            <w:r>
              <w:rPr>
                <w:b/>
                <w:sz w:val="22"/>
                <w:szCs w:val="22"/>
              </w:rPr>
              <w:fldChar w:fldCharType="end"/>
            </w:r>
          </w:p>
          <w:p w14:paraId="35D56372" w14:textId="61AED1F0" w:rsidR="00DF6653" w:rsidRPr="008264D0" w:rsidRDefault="00757F6D" w:rsidP="00757F6D">
            <w:pPr>
              <w:rPr>
                <w:b/>
                <w:sz w:val="22"/>
                <w:szCs w:val="22"/>
              </w:rPr>
            </w:pPr>
            <w:r w:rsidRPr="002B4C07">
              <w:rPr>
                <w:b/>
                <w:sz w:val="22"/>
                <w:szCs w:val="22"/>
              </w:rPr>
              <w:t xml:space="preserve">Original: </w:t>
            </w:r>
            <w:r w:rsidR="00A91BE9">
              <w:rPr>
                <w:b/>
                <w:sz w:val="22"/>
                <w:szCs w:val="22"/>
              </w:rPr>
              <w:t>English</w:t>
            </w:r>
          </w:p>
        </w:tc>
      </w:tr>
      <w:tr w:rsidR="00DF6653" w14:paraId="35B70C3F" w14:textId="77777777" w:rsidTr="00330ADE">
        <w:trPr>
          <w:gridBefore w:val="1"/>
          <w:wBefore w:w="90" w:type="dxa"/>
          <w:cantSplit/>
          <w:trHeight w:val="511"/>
        </w:trPr>
        <w:tc>
          <w:tcPr>
            <w:tcW w:w="10360" w:type="dxa"/>
            <w:gridSpan w:val="4"/>
          </w:tcPr>
          <w:p w14:paraId="11040073" w14:textId="77777777" w:rsidR="00DF6653" w:rsidRPr="00C148DD" w:rsidRDefault="00DF6653">
            <w:pPr>
              <w:rPr>
                <w:b/>
                <w:sz w:val="24"/>
                <w:szCs w:val="24"/>
              </w:rPr>
            </w:pPr>
          </w:p>
          <w:p w14:paraId="6191E97B" w14:textId="77777777" w:rsidR="00DF6653" w:rsidRPr="00C148DD" w:rsidRDefault="00DF6653">
            <w:pPr>
              <w:rPr>
                <w:b/>
                <w:sz w:val="24"/>
                <w:szCs w:val="24"/>
              </w:rPr>
            </w:pPr>
          </w:p>
        </w:tc>
      </w:tr>
      <w:tr w:rsidR="00DF6653" w14:paraId="35961063" w14:textId="77777777" w:rsidTr="00330ADE">
        <w:trPr>
          <w:gridBefore w:val="1"/>
          <w:wBefore w:w="90" w:type="dxa"/>
          <w:cantSplit/>
          <w:trHeight w:val="256"/>
        </w:trPr>
        <w:tc>
          <w:tcPr>
            <w:tcW w:w="1557" w:type="dxa"/>
          </w:tcPr>
          <w:p w14:paraId="4A5D8A54" w14:textId="77777777" w:rsidR="00DF6653" w:rsidRDefault="00DF6653">
            <w:pPr>
              <w:spacing w:before="120"/>
              <w:jc w:val="center"/>
              <w:rPr>
                <w:b/>
                <w:sz w:val="24"/>
              </w:rPr>
            </w:pPr>
          </w:p>
        </w:tc>
        <w:tc>
          <w:tcPr>
            <w:tcW w:w="7134" w:type="dxa"/>
            <w:gridSpan w:val="2"/>
          </w:tcPr>
          <w:p w14:paraId="1DE01150" w14:textId="77777777" w:rsidR="00C53AA3" w:rsidRDefault="00C53AA3">
            <w:pPr>
              <w:spacing w:before="120"/>
              <w:jc w:val="center"/>
              <w:rPr>
                <w:b/>
                <w:sz w:val="24"/>
                <w:szCs w:val="24"/>
              </w:rPr>
            </w:pPr>
            <w:r w:rsidRPr="00C53AA3">
              <w:rPr>
                <w:b/>
                <w:sz w:val="24"/>
                <w:szCs w:val="24"/>
              </w:rPr>
              <w:t>DRAFT PRELIMINARY VIEW</w:t>
            </w:r>
            <w:r>
              <w:rPr>
                <w:b/>
                <w:sz w:val="24"/>
                <w:szCs w:val="24"/>
              </w:rPr>
              <w:t xml:space="preserve"> FOR </w:t>
            </w:r>
          </w:p>
          <w:p w14:paraId="01909043" w14:textId="31F4F822" w:rsidR="00DF6653" w:rsidRPr="00C148DD" w:rsidRDefault="00C53AA3">
            <w:pPr>
              <w:spacing w:before="120"/>
              <w:jc w:val="center"/>
              <w:rPr>
                <w:b/>
                <w:caps/>
                <w:sz w:val="24"/>
                <w:szCs w:val="24"/>
              </w:rPr>
            </w:pPr>
            <w:r>
              <w:rPr>
                <w:b/>
                <w:sz w:val="24"/>
                <w:szCs w:val="24"/>
              </w:rPr>
              <w:t>WRC-27 AGENDA ITEM 1.11</w:t>
            </w:r>
          </w:p>
        </w:tc>
        <w:tc>
          <w:tcPr>
            <w:tcW w:w="1669" w:type="dxa"/>
          </w:tcPr>
          <w:p w14:paraId="21FB025B" w14:textId="77777777" w:rsidR="00DF6653" w:rsidRPr="00211705" w:rsidRDefault="00DF6653">
            <w:pPr>
              <w:spacing w:before="120"/>
              <w:jc w:val="center"/>
              <w:rPr>
                <w:b/>
                <w:sz w:val="24"/>
              </w:rPr>
            </w:pPr>
          </w:p>
        </w:tc>
      </w:tr>
      <w:tr w:rsidR="00DF6653" w14:paraId="63FC20FC" w14:textId="77777777" w:rsidTr="00330ADE">
        <w:trPr>
          <w:gridBefore w:val="1"/>
          <w:wBefore w:w="90" w:type="dxa"/>
          <w:cantSplit/>
          <w:trHeight w:val="256"/>
        </w:trPr>
        <w:tc>
          <w:tcPr>
            <w:tcW w:w="1557" w:type="dxa"/>
          </w:tcPr>
          <w:p w14:paraId="58FF7533" w14:textId="77777777" w:rsidR="00DF6653" w:rsidRPr="00211705" w:rsidRDefault="00DF6653">
            <w:pPr>
              <w:spacing w:before="120"/>
              <w:jc w:val="center"/>
              <w:rPr>
                <w:b/>
                <w:sz w:val="24"/>
              </w:rPr>
            </w:pPr>
          </w:p>
        </w:tc>
        <w:tc>
          <w:tcPr>
            <w:tcW w:w="7134" w:type="dxa"/>
            <w:gridSpan w:val="2"/>
          </w:tcPr>
          <w:p w14:paraId="5B4015C5" w14:textId="14A643C2" w:rsidR="00DF6653" w:rsidRPr="00C148DD" w:rsidRDefault="00DF6653" w:rsidP="00620569">
            <w:pPr>
              <w:spacing w:before="120"/>
              <w:jc w:val="center"/>
              <w:rPr>
                <w:b/>
                <w:sz w:val="24"/>
                <w:szCs w:val="24"/>
              </w:rPr>
            </w:pPr>
            <w:r w:rsidRPr="00C148DD">
              <w:rPr>
                <w:b/>
                <w:sz w:val="24"/>
                <w:szCs w:val="24"/>
              </w:rPr>
              <w:t xml:space="preserve">(Item on the Agenda: </w:t>
            </w:r>
            <w:r w:rsidR="00C53AA3">
              <w:rPr>
                <w:b/>
                <w:sz w:val="24"/>
                <w:szCs w:val="24"/>
                <w:lang w:val="es-UY"/>
              </w:rPr>
              <w:t>3.1</w:t>
            </w:r>
            <w:r w:rsidRPr="00C148DD">
              <w:rPr>
                <w:b/>
                <w:sz w:val="24"/>
                <w:szCs w:val="24"/>
              </w:rPr>
              <w:t>)</w:t>
            </w:r>
          </w:p>
        </w:tc>
        <w:tc>
          <w:tcPr>
            <w:tcW w:w="1669" w:type="dxa"/>
          </w:tcPr>
          <w:p w14:paraId="44900427" w14:textId="77777777" w:rsidR="00DF6653" w:rsidRPr="00B64C14" w:rsidRDefault="00DF6653">
            <w:pPr>
              <w:spacing w:before="120"/>
              <w:jc w:val="center"/>
              <w:rPr>
                <w:b/>
                <w:sz w:val="24"/>
              </w:rPr>
            </w:pPr>
          </w:p>
        </w:tc>
      </w:tr>
      <w:tr w:rsidR="00DF6653" w14:paraId="69A1C69B" w14:textId="77777777" w:rsidTr="00330ADE">
        <w:trPr>
          <w:gridBefore w:val="1"/>
          <w:wBefore w:w="90" w:type="dxa"/>
          <w:cantSplit/>
          <w:trHeight w:val="256"/>
        </w:trPr>
        <w:tc>
          <w:tcPr>
            <w:tcW w:w="155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14B2FA61" w:rsidR="00DF6653" w:rsidRPr="00C148DD" w:rsidRDefault="00DF6653" w:rsidP="005962C2">
            <w:pPr>
              <w:spacing w:before="120"/>
              <w:jc w:val="center"/>
              <w:rPr>
                <w:b/>
                <w:sz w:val="24"/>
                <w:szCs w:val="24"/>
              </w:rPr>
            </w:pPr>
            <w:r w:rsidRPr="00200D77">
              <w:rPr>
                <w:b/>
                <w:sz w:val="24"/>
                <w:szCs w:val="24"/>
              </w:rPr>
              <w:t xml:space="preserve">(Document submitted by </w:t>
            </w:r>
            <w:r w:rsidR="00200D77" w:rsidRPr="00200D77">
              <w:rPr>
                <w:b/>
                <w:sz w:val="24"/>
                <w:szCs w:val="24"/>
              </w:rPr>
              <w:t>the Delegation of the United States</w:t>
            </w:r>
            <w:r w:rsidR="005962C2" w:rsidRPr="00200D77">
              <w:rPr>
                <w:b/>
                <w:sz w:val="24"/>
                <w:szCs w:val="24"/>
              </w:rPr>
              <w:t>)</w:t>
            </w:r>
          </w:p>
        </w:tc>
        <w:tc>
          <w:tcPr>
            <w:tcW w:w="1669"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E04CA9">
          <w:headerReference w:type="even" r:id="rId11"/>
          <w:headerReference w:type="default" r:id="rId12"/>
          <w:footerReference w:type="even" r:id="rId13"/>
          <w:footerReference w:type="default" r:id="rId14"/>
          <w:headerReference w:type="first" r:id="rId15"/>
          <w:footerReference w:type="first" r:id="rId16"/>
          <w:pgSz w:w="12242" w:h="15842" w:code="1"/>
          <w:pgMar w:top="1440" w:right="1440" w:bottom="1440" w:left="1440" w:header="720" w:footer="720" w:gutter="0"/>
          <w:pgNumType w:start="0"/>
          <w:cols w:space="720"/>
          <w:titlePg/>
          <w:docGrid w:linePitch="272"/>
        </w:sectPr>
      </w:pPr>
    </w:p>
    <w:p w14:paraId="0B3FA7E0" w14:textId="0F6407C3" w:rsidR="00DF6653" w:rsidRDefault="00DF6653">
      <w:pPr>
        <w:rPr>
          <w:b/>
          <w:sz w:val="24"/>
        </w:rPr>
      </w:pPr>
    </w:p>
    <w:p w14:paraId="1EFFCBEF" w14:textId="313C28DD" w:rsidR="00584D4E" w:rsidRPr="007F79E7" w:rsidRDefault="00584D4E" w:rsidP="00584D4E">
      <w:pPr>
        <w:rPr>
          <w:rFonts w:eastAsia="Calibri"/>
          <w:b/>
          <w:sz w:val="22"/>
          <w:szCs w:val="22"/>
          <w:lang w:val="pt-BR"/>
        </w:rPr>
      </w:pPr>
      <w:r w:rsidRPr="007F79E7">
        <w:rPr>
          <w:b/>
          <w:sz w:val="22"/>
          <w:szCs w:val="22"/>
          <w:lang w:val="pt-BR"/>
        </w:rPr>
        <w:t>SGT</w:t>
      </w:r>
      <w:r w:rsidRPr="007F79E7">
        <w:rPr>
          <w:b/>
          <w:sz w:val="22"/>
          <w:szCs w:val="22"/>
          <w:highlight w:val="yellow"/>
          <w:lang w:val="pt-BR"/>
        </w:rPr>
        <w:t>#</w:t>
      </w:r>
      <w:r w:rsidRPr="007F79E7">
        <w:rPr>
          <w:b/>
          <w:sz w:val="22"/>
          <w:szCs w:val="22"/>
          <w:lang w:val="pt-BR"/>
        </w:rPr>
        <w:t xml:space="preserve">: </w:t>
      </w:r>
      <w:r w:rsidR="00200D77">
        <w:rPr>
          <w:b/>
          <w:sz w:val="22"/>
          <w:szCs w:val="22"/>
          <w:lang w:val="pt-BR"/>
        </w:rPr>
        <w:t>4</w:t>
      </w:r>
    </w:p>
    <w:p w14:paraId="563F63BE" w14:textId="77777777" w:rsidR="00584D4E" w:rsidRPr="007F79E7" w:rsidRDefault="00584D4E" w:rsidP="00584D4E">
      <w:pPr>
        <w:rPr>
          <w:rFonts w:eastAsia="Calibri"/>
          <w:b/>
          <w:sz w:val="22"/>
          <w:szCs w:val="22"/>
          <w:lang w:val="pt-BR"/>
        </w:rPr>
      </w:pPr>
    </w:p>
    <w:p w14:paraId="58E25AA5" w14:textId="77777777" w:rsidR="00584D4E" w:rsidRPr="007F79E7" w:rsidRDefault="00584D4E" w:rsidP="00584D4E">
      <w:pPr>
        <w:rPr>
          <w:rFonts w:eastAsia="Calibri"/>
          <w:bCs/>
          <w:sz w:val="22"/>
          <w:szCs w:val="22"/>
          <w:lang w:val="pt-BR"/>
        </w:rPr>
      </w:pPr>
      <w:r w:rsidRPr="007F79E7">
        <w:rPr>
          <w:rFonts w:eastAsia="Calibri"/>
          <w:b/>
          <w:sz w:val="22"/>
          <w:szCs w:val="22"/>
          <w:lang w:val="pt-BR"/>
        </w:rPr>
        <w:t>Coordinator</w:t>
      </w:r>
      <w:r w:rsidRPr="007F79E7">
        <w:rPr>
          <w:rFonts w:eastAsia="Calibri"/>
          <w:b/>
          <w:bCs/>
          <w:sz w:val="22"/>
          <w:szCs w:val="22"/>
          <w:lang w:val="pt-BR"/>
        </w:rPr>
        <w:t xml:space="preserve">: </w:t>
      </w:r>
    </w:p>
    <w:p w14:paraId="7EBC57FC" w14:textId="77777777" w:rsidR="00584D4E" w:rsidRPr="007F79E7" w:rsidRDefault="00584D4E" w:rsidP="00584D4E">
      <w:pPr>
        <w:rPr>
          <w:b/>
          <w:sz w:val="22"/>
          <w:szCs w:val="22"/>
          <w:lang w:val="pt-BR"/>
        </w:rPr>
      </w:pPr>
    </w:p>
    <w:p w14:paraId="1A885BE8" w14:textId="77777777" w:rsidR="00584D4E" w:rsidRPr="007F79E7" w:rsidRDefault="00584D4E" w:rsidP="00584D4E">
      <w:pPr>
        <w:rPr>
          <w:rFonts w:eastAsia="Calibri"/>
          <w:b/>
          <w:sz w:val="22"/>
          <w:szCs w:val="22"/>
          <w:lang w:val="pt-BR"/>
        </w:rPr>
      </w:pPr>
      <w:r w:rsidRPr="007F79E7">
        <w:rPr>
          <w:rFonts w:eastAsia="Calibri"/>
          <w:b/>
          <w:sz w:val="22"/>
          <w:szCs w:val="22"/>
          <w:lang w:val="pt-BR"/>
        </w:rPr>
        <w:t xml:space="preserve">Vice-Coordinador: </w:t>
      </w:r>
    </w:p>
    <w:p w14:paraId="7C3A8268" w14:textId="77777777" w:rsidR="00584D4E" w:rsidRPr="007F79E7" w:rsidRDefault="00584D4E" w:rsidP="00584D4E">
      <w:pPr>
        <w:rPr>
          <w:rFonts w:eastAsia="Calibri"/>
          <w:sz w:val="22"/>
          <w:szCs w:val="22"/>
          <w:lang w:val="pt-BR" w:eastAsia="es-ES"/>
        </w:rPr>
      </w:pPr>
    </w:p>
    <w:p w14:paraId="6BA9D9A6" w14:textId="77777777" w:rsidR="00584D4E" w:rsidRPr="007F79E7" w:rsidRDefault="00584D4E" w:rsidP="00584D4E">
      <w:pPr>
        <w:autoSpaceDE w:val="0"/>
        <w:autoSpaceDN w:val="0"/>
        <w:adjustRightInd w:val="0"/>
        <w:rPr>
          <w:rFonts w:eastAsia="Calibri"/>
          <w:sz w:val="22"/>
          <w:szCs w:val="22"/>
          <w:lang w:val="pt-BR"/>
        </w:rPr>
      </w:pPr>
      <w:r w:rsidRPr="007F79E7">
        <w:rPr>
          <w:rFonts w:eastAsia="Calibri"/>
          <w:b/>
          <w:sz w:val="22"/>
          <w:szCs w:val="22"/>
          <w:lang w:val="pt-BR"/>
        </w:rPr>
        <w:t xml:space="preserve">Agenda Item Rapporteur: </w:t>
      </w:r>
    </w:p>
    <w:p w14:paraId="6E0F9788" w14:textId="77777777" w:rsidR="00584D4E" w:rsidRPr="007F79E7" w:rsidRDefault="00584D4E" w:rsidP="00584D4E">
      <w:pPr>
        <w:rPr>
          <w:rFonts w:eastAsia="Calibri"/>
          <w:sz w:val="22"/>
          <w:szCs w:val="22"/>
          <w:lang w:val="pt-BR"/>
        </w:rPr>
      </w:pPr>
    </w:p>
    <w:p w14:paraId="673541B4" w14:textId="77777777" w:rsidR="00584D4E" w:rsidRPr="007F79E7" w:rsidRDefault="00584D4E" w:rsidP="00584D4E">
      <w:pPr>
        <w:rPr>
          <w:rFonts w:eastAsia="Calibri"/>
          <w:bCs/>
          <w:sz w:val="22"/>
          <w:szCs w:val="22"/>
          <w:lang w:val="en-GB"/>
        </w:rPr>
      </w:pPr>
      <w:r w:rsidRPr="007F79E7">
        <w:rPr>
          <w:rFonts w:eastAsia="Calibri"/>
          <w:b/>
          <w:sz w:val="22"/>
          <w:szCs w:val="22"/>
          <w:lang w:val="en-GB"/>
        </w:rPr>
        <w:t xml:space="preserve">Agenda Item Vice-Rapporteur: </w:t>
      </w:r>
    </w:p>
    <w:p w14:paraId="15DD9E5E" w14:textId="77777777" w:rsidR="00DB12E8" w:rsidRPr="002B4C07" w:rsidRDefault="00DB12E8" w:rsidP="00DB12E8">
      <w:pPr>
        <w:tabs>
          <w:tab w:val="left" w:pos="699"/>
          <w:tab w:val="left" w:pos="1080"/>
          <w:tab w:val="left" w:pos="7257"/>
          <w:tab w:val="left" w:pos="7920"/>
          <w:tab w:val="left" w:pos="8508"/>
          <w:tab w:val="left" w:pos="9216"/>
        </w:tabs>
        <w:jc w:val="both"/>
        <w:rPr>
          <w:b/>
          <w:sz w:val="22"/>
        </w:rPr>
      </w:pPr>
    </w:p>
    <w:p w14:paraId="63534E52" w14:textId="7150D217" w:rsidR="00EE3CD2" w:rsidRDefault="00620569" w:rsidP="00620569">
      <w:pPr>
        <w:rPr>
          <w:b/>
          <w:sz w:val="24"/>
        </w:rPr>
      </w:pPr>
      <w:r w:rsidRPr="0031615C">
        <w:rPr>
          <w:b/>
          <w:sz w:val="22"/>
        </w:rPr>
        <w:t xml:space="preserve"> </w:t>
      </w:r>
    </w:p>
    <w:p w14:paraId="41FA9369" w14:textId="4E863C7F" w:rsidR="004566B8" w:rsidRDefault="004566B8" w:rsidP="00EE3CD2">
      <w:pPr>
        <w:rPr>
          <w:sz w:val="24"/>
        </w:rPr>
      </w:pPr>
      <w:r>
        <w:rPr>
          <w:sz w:val="24"/>
        </w:rPr>
        <w:br w:type="page"/>
      </w:r>
    </w:p>
    <w:p w14:paraId="617DB624" w14:textId="77777777" w:rsidR="00C53AA3" w:rsidRPr="00C53AA3" w:rsidRDefault="00C53AA3" w:rsidP="00C53AA3">
      <w:pPr>
        <w:widowControl w:val="0"/>
        <w:autoSpaceDE w:val="0"/>
        <w:autoSpaceDN w:val="0"/>
        <w:spacing w:before="120"/>
        <w:jc w:val="center"/>
        <w:rPr>
          <w:b/>
          <w:sz w:val="24"/>
          <w:szCs w:val="24"/>
        </w:rPr>
      </w:pPr>
      <w:r w:rsidRPr="00C53AA3">
        <w:rPr>
          <w:b/>
          <w:sz w:val="24"/>
          <w:szCs w:val="24"/>
        </w:rPr>
        <w:lastRenderedPageBreak/>
        <w:t>UNITED STATES OF AMERICA</w:t>
      </w:r>
    </w:p>
    <w:p w14:paraId="2EC15B1F" w14:textId="77777777" w:rsidR="00C53AA3" w:rsidRPr="00C53AA3" w:rsidRDefault="00C53AA3" w:rsidP="00C53AA3">
      <w:pPr>
        <w:widowControl w:val="0"/>
        <w:autoSpaceDE w:val="0"/>
        <w:autoSpaceDN w:val="0"/>
        <w:spacing w:before="120"/>
        <w:jc w:val="center"/>
        <w:rPr>
          <w:b/>
          <w:sz w:val="24"/>
          <w:szCs w:val="24"/>
        </w:rPr>
      </w:pPr>
      <w:r w:rsidRPr="00C53AA3">
        <w:rPr>
          <w:b/>
          <w:sz w:val="24"/>
          <w:szCs w:val="24"/>
        </w:rPr>
        <w:t>DRAFT PRELIMINARY VIEWS ON WRC-27</w:t>
      </w:r>
    </w:p>
    <w:p w14:paraId="4AD17825" w14:textId="77777777" w:rsidR="00C53AA3" w:rsidRPr="00981A4B" w:rsidRDefault="00C53AA3" w:rsidP="00C53AA3">
      <w:pPr>
        <w:pStyle w:val="NormalWeb"/>
        <w:spacing w:after="0" w:line="240" w:lineRule="auto"/>
        <w:rPr>
          <w:bCs/>
          <w:color w:val="010101"/>
        </w:rPr>
      </w:pPr>
    </w:p>
    <w:p w14:paraId="60FB1302" w14:textId="77777777" w:rsidR="00C53AA3" w:rsidRPr="00AE7B40" w:rsidRDefault="00C53AA3" w:rsidP="00C53AA3">
      <w:pPr>
        <w:pStyle w:val="BodyText"/>
        <w:rPr>
          <w:sz w:val="24"/>
          <w:szCs w:val="24"/>
        </w:rPr>
      </w:pPr>
      <w:r w:rsidRPr="00AE7B40">
        <w:rPr>
          <w:b/>
          <w:bCs/>
          <w:sz w:val="24"/>
          <w:szCs w:val="24"/>
        </w:rPr>
        <w:t>AGENDA ITEM 1.11</w:t>
      </w:r>
      <w:r w:rsidRPr="00AE7B40">
        <w:rPr>
          <w:sz w:val="24"/>
          <w:szCs w:val="24"/>
        </w:rPr>
        <w:t xml:space="preserve">: to consider the technical and operational issues, and regulatory provisions, for space-to-space links </w:t>
      </w:r>
      <w:bookmarkStart w:id="0" w:name="_Hlk166836870"/>
      <w:r w:rsidRPr="00AE7B40">
        <w:rPr>
          <w:sz w:val="24"/>
          <w:szCs w:val="24"/>
        </w:rPr>
        <w:t>among non-geostationary and geostationary satellites in the frequency bands 1 518-1 544 MHz, 1 545-1 559 MHz, 1 610-1 645.5 MHz, 1 646.5-1 660 MHz, 1 670-1 675 MHz and 2 483.5-2 500 MHz allocated to the mobile-satellite service</w:t>
      </w:r>
      <w:bookmarkEnd w:id="0"/>
      <w:r w:rsidRPr="00AE7B40">
        <w:rPr>
          <w:sz w:val="24"/>
          <w:szCs w:val="24"/>
        </w:rPr>
        <w:t xml:space="preserve">, in accordance with Resolution </w:t>
      </w:r>
      <w:r w:rsidRPr="00AE7B40">
        <w:rPr>
          <w:b/>
          <w:bCs/>
          <w:sz w:val="24"/>
          <w:szCs w:val="24"/>
        </w:rPr>
        <w:t>249 (Rev.WRC 23)</w:t>
      </w:r>
      <w:r w:rsidRPr="00AE7B40">
        <w:rPr>
          <w:sz w:val="24"/>
          <w:szCs w:val="24"/>
        </w:rPr>
        <w:t>;</w:t>
      </w:r>
    </w:p>
    <w:p w14:paraId="1B151F53" w14:textId="77777777" w:rsidR="00C53AA3" w:rsidRPr="00981A4B" w:rsidRDefault="00C53AA3" w:rsidP="00C53AA3">
      <w:pPr>
        <w:pStyle w:val="BodyText"/>
        <w:rPr>
          <w:sz w:val="24"/>
          <w:szCs w:val="24"/>
        </w:rPr>
      </w:pPr>
    </w:p>
    <w:p w14:paraId="145F86B3" w14:textId="77777777" w:rsidR="00C53AA3" w:rsidRPr="00981A4B" w:rsidRDefault="00C53AA3" w:rsidP="00C53AA3">
      <w:pPr>
        <w:pStyle w:val="BodyText"/>
        <w:spacing w:before="120"/>
        <w:ind w:right="158"/>
        <w:rPr>
          <w:sz w:val="24"/>
          <w:szCs w:val="24"/>
        </w:rPr>
      </w:pPr>
      <w:r w:rsidRPr="00981A4B">
        <w:rPr>
          <w:b/>
          <w:bCs/>
          <w:sz w:val="24"/>
          <w:szCs w:val="24"/>
        </w:rPr>
        <w:t xml:space="preserve">BACKGROUND:  </w:t>
      </w:r>
      <w:r w:rsidRPr="00981A4B">
        <w:rPr>
          <w:sz w:val="24"/>
          <w:szCs w:val="24"/>
        </w:rPr>
        <w:t xml:space="preserve">WRC-27 is considering taking appropriate regulatory actions for the provision of space-to-space links among non-geostationary and geostationary satellites in the frequency bands </w:t>
      </w:r>
      <w:bookmarkStart w:id="1" w:name="_Hlk166839255"/>
      <w:r w:rsidRPr="00981A4B">
        <w:rPr>
          <w:sz w:val="24"/>
          <w:szCs w:val="24"/>
        </w:rPr>
        <w:t>1 518-1 544 MHz, 1 545-1 559 MHz, 1 610-1 645.5 MHz, 1 646.5-1 660 MHz, 1 670-1 675 MHz and 2 483.5-2 500 MHz</w:t>
      </w:r>
      <w:bookmarkEnd w:id="1"/>
      <w:r w:rsidRPr="00981A4B">
        <w:rPr>
          <w:sz w:val="24"/>
          <w:szCs w:val="24"/>
        </w:rPr>
        <w:t xml:space="preserve"> allocated to the mobile-satellite service to facilitate relaying data from non-geostationary (non-GSO) space stations through satellite systems or networks in the mobile-satellite service.  </w:t>
      </w:r>
    </w:p>
    <w:p w14:paraId="2FBF48CF" w14:textId="77777777" w:rsidR="00C53AA3" w:rsidRPr="00981A4B" w:rsidRDefault="00C53AA3" w:rsidP="00C53AA3">
      <w:pPr>
        <w:pStyle w:val="BodyText"/>
        <w:spacing w:before="120"/>
        <w:ind w:right="158"/>
        <w:rPr>
          <w:sz w:val="24"/>
          <w:szCs w:val="24"/>
        </w:rPr>
      </w:pPr>
      <w:r w:rsidRPr="00981A4B">
        <w:rPr>
          <w:sz w:val="24"/>
          <w:szCs w:val="24"/>
        </w:rPr>
        <w:t>The landscape of satellite communications has seen a significant uptick in the deployment and operation of small non-geostationary (non-GSO) satellites, particularly those on short-duration missions (e.g. “cubesats”). Considering that many non-GSO small satellites and cubesats traditionally operate with limited and non-real-time connectivity to Earth stations, advancements have explored the potential for continuous access across their orbits, leveraging operating host non-GSO mobile-satellite service (MSS) systems. Concurrently, geostationary (GSO) MSS operators are also providing communications access to LEO satellites via space-to-space links.</w:t>
      </w:r>
    </w:p>
    <w:p w14:paraId="5859077D" w14:textId="77777777" w:rsidR="00C53AA3" w:rsidRPr="00981A4B" w:rsidRDefault="00C53AA3" w:rsidP="00C53AA3">
      <w:pPr>
        <w:pStyle w:val="BodyText"/>
        <w:spacing w:before="120"/>
        <w:ind w:right="158"/>
        <w:rPr>
          <w:sz w:val="24"/>
          <w:szCs w:val="24"/>
        </w:rPr>
      </w:pPr>
      <w:r w:rsidRPr="00981A4B">
        <w:rPr>
          <w:sz w:val="24"/>
          <w:szCs w:val="24"/>
        </w:rPr>
        <w:t>The evolving regulatory landscape and the increasing deployment and operation of small non-geostationary (non-GSO) satellites reflect a collective move towards maximizing the utility of satellite networks, which is supported by WRC-27 AI 1.11 studies towards developing the necessary provisions to secure the regulatory recognition for such space-to-space operations while protecting incumbent services.</w:t>
      </w:r>
    </w:p>
    <w:p w14:paraId="6A811B87" w14:textId="77777777" w:rsidR="00C53AA3" w:rsidRPr="00981A4B" w:rsidRDefault="00C53AA3" w:rsidP="00C53AA3">
      <w:pPr>
        <w:pStyle w:val="BodyText"/>
        <w:spacing w:before="120"/>
        <w:ind w:right="158"/>
        <w:rPr>
          <w:sz w:val="24"/>
          <w:szCs w:val="24"/>
        </w:rPr>
      </w:pPr>
      <w:r w:rsidRPr="00981A4B">
        <w:rPr>
          <w:sz w:val="24"/>
          <w:szCs w:val="24"/>
        </w:rPr>
        <w:t xml:space="preserve">It is necessary to study the impact on, and to protect, other services, including Earth-to-space and space-to-Earth operation within the MSS, from the operation of space-to-space links in the frequency bands included under this agenda item, taking into account applicable footnotes to the Table of Frequency Allocations, to ensure compatibility with incumbent services in these frequency bands and the adjacent frequency bands and avoid harmful interference.  Studies will need to be conducted on the technical and operational characteristics, and protection, sharing and potential compatibility between satellite-to-satellite links and the allocated primary services in the frequency ranges and adjacent bands specified in Resolution </w:t>
      </w:r>
      <w:r w:rsidRPr="00981A4B">
        <w:rPr>
          <w:b/>
          <w:bCs/>
          <w:sz w:val="24"/>
          <w:szCs w:val="24"/>
        </w:rPr>
        <w:t>249 (Rev. WRC-23)</w:t>
      </w:r>
      <w:r w:rsidRPr="00981A4B">
        <w:rPr>
          <w:sz w:val="24"/>
          <w:szCs w:val="24"/>
        </w:rPr>
        <w:t>. These studies are underway in the ITU.</w:t>
      </w:r>
    </w:p>
    <w:p w14:paraId="7609F111" w14:textId="77777777" w:rsidR="00C53AA3" w:rsidRDefault="00C53AA3" w:rsidP="00C53AA3">
      <w:pPr>
        <w:pStyle w:val="BodyText"/>
        <w:spacing w:before="121"/>
        <w:ind w:right="172"/>
        <w:rPr>
          <w:b/>
          <w:bCs/>
          <w:sz w:val="24"/>
          <w:szCs w:val="24"/>
        </w:rPr>
      </w:pPr>
      <w:r w:rsidRPr="00981A4B">
        <w:rPr>
          <w:sz w:val="24"/>
          <w:szCs w:val="24"/>
        </w:rPr>
        <w:t xml:space="preserve">In accordance with RR No. </w:t>
      </w:r>
      <w:r w:rsidRPr="00981A4B">
        <w:rPr>
          <w:b/>
          <w:sz w:val="24"/>
          <w:szCs w:val="24"/>
        </w:rPr>
        <w:t>5.344</w:t>
      </w:r>
      <w:r w:rsidRPr="00981A4B">
        <w:rPr>
          <w:sz w:val="24"/>
          <w:szCs w:val="24"/>
        </w:rPr>
        <w:t xml:space="preserve">, in the United States the band 1 452-1 525 MHz is allocated to the fixed and mobile services on a primary basis (see also No. </w:t>
      </w:r>
      <w:r w:rsidRPr="00981A4B">
        <w:rPr>
          <w:b/>
          <w:bCs/>
          <w:sz w:val="24"/>
          <w:szCs w:val="24"/>
        </w:rPr>
        <w:t>5.343</w:t>
      </w:r>
      <w:r w:rsidRPr="00981A4B">
        <w:rPr>
          <w:sz w:val="24"/>
          <w:szCs w:val="24"/>
        </w:rPr>
        <w:t xml:space="preserve">).  RR No. </w:t>
      </w:r>
      <w:r w:rsidRPr="00981A4B">
        <w:rPr>
          <w:b/>
          <w:sz w:val="24"/>
          <w:szCs w:val="24"/>
        </w:rPr>
        <w:t>5.343</w:t>
      </w:r>
      <w:r w:rsidRPr="00981A4B">
        <w:rPr>
          <w:sz w:val="24"/>
          <w:szCs w:val="24"/>
        </w:rPr>
        <w:t xml:space="preserve"> prescribes that “In Region 2, the use of the band 1 435-1 535 MHz by the aeronautical mobile service for telemetry has priority over other uses by the mobile service.”  And RR </w:t>
      </w:r>
      <w:r w:rsidRPr="00981A4B">
        <w:rPr>
          <w:b/>
          <w:sz w:val="24"/>
          <w:szCs w:val="24"/>
        </w:rPr>
        <w:t>5.348B</w:t>
      </w:r>
      <w:r w:rsidRPr="00981A4B">
        <w:rPr>
          <w:sz w:val="24"/>
          <w:szCs w:val="24"/>
        </w:rPr>
        <w:t xml:space="preserve"> provides that stations in the mobile-satellite service in 1518-1525 MHz not claim protection from aeronautical mobile telemetry stations in the territory of the United States.  Table </w:t>
      </w:r>
      <w:r w:rsidRPr="00981A4B">
        <w:rPr>
          <w:b/>
          <w:sz w:val="24"/>
          <w:szCs w:val="24"/>
        </w:rPr>
        <w:t xml:space="preserve">21-4 </w:t>
      </w:r>
      <w:r w:rsidRPr="00981A4B">
        <w:rPr>
          <w:bCs/>
          <w:sz w:val="24"/>
          <w:szCs w:val="24"/>
        </w:rPr>
        <w:t xml:space="preserve">in </w:t>
      </w:r>
      <w:r w:rsidRPr="00981A4B">
        <w:rPr>
          <w:bCs/>
          <w:sz w:val="24"/>
          <w:szCs w:val="24"/>
        </w:rPr>
        <w:lastRenderedPageBreak/>
        <w:t>Article 21</w:t>
      </w:r>
      <w:r w:rsidRPr="00981A4B">
        <w:rPr>
          <w:b/>
          <w:sz w:val="24"/>
          <w:szCs w:val="24"/>
        </w:rPr>
        <w:t xml:space="preserve"> </w:t>
      </w:r>
      <w:r w:rsidRPr="00981A4B">
        <w:rPr>
          <w:bCs/>
          <w:sz w:val="24"/>
          <w:szCs w:val="24"/>
        </w:rPr>
        <w:t xml:space="preserve">provides stringent power flux-density levels applied to the Mobile-satellite (space-to-Earth) operating in the band 1518-1525 MHz to ensure the </w:t>
      </w:r>
      <w:r w:rsidRPr="00981A4B">
        <w:rPr>
          <w:sz w:val="24"/>
          <w:szCs w:val="24"/>
        </w:rPr>
        <w:t xml:space="preserve">protection of aeronautical mobile telemetry applicable to the territory of the United States in the band 1518-1525 MHz. </w:t>
      </w:r>
      <w:r w:rsidRPr="00981A4B">
        <w:rPr>
          <w:sz w:val="24"/>
          <w:szCs w:val="24"/>
        </w:rPr>
        <w:br/>
      </w:r>
    </w:p>
    <w:p w14:paraId="76721002" w14:textId="77777777" w:rsidR="00C53AA3" w:rsidRPr="00981A4B" w:rsidRDefault="00C53AA3" w:rsidP="00C53AA3">
      <w:pPr>
        <w:pStyle w:val="BodyText"/>
        <w:spacing w:before="121"/>
        <w:ind w:right="172"/>
        <w:rPr>
          <w:sz w:val="24"/>
          <w:szCs w:val="24"/>
        </w:rPr>
      </w:pPr>
      <w:r w:rsidRPr="00981A4B">
        <w:rPr>
          <w:b/>
          <w:bCs/>
          <w:sz w:val="24"/>
          <w:szCs w:val="24"/>
        </w:rPr>
        <w:t xml:space="preserve">U.S. VIEW:  </w:t>
      </w:r>
      <w:r w:rsidRPr="00981A4B">
        <w:rPr>
          <w:sz w:val="24"/>
          <w:szCs w:val="24"/>
        </w:rPr>
        <w:t xml:space="preserve">The United States supports the consideration of appropriate technical and regulatory provisions at WRC-27 to address Resolution </w:t>
      </w:r>
      <w:r w:rsidRPr="00981A4B">
        <w:rPr>
          <w:b/>
          <w:bCs/>
          <w:sz w:val="24"/>
          <w:szCs w:val="24"/>
        </w:rPr>
        <w:t xml:space="preserve">249 (Rev. WRC-23) </w:t>
      </w:r>
      <w:r w:rsidRPr="00981A4B">
        <w:rPr>
          <w:sz w:val="24"/>
          <w:szCs w:val="24"/>
        </w:rPr>
        <w:t>and provide for accommodating space-to-space links</w:t>
      </w:r>
      <w:r w:rsidRPr="00981A4B">
        <w:rPr>
          <w:b/>
          <w:bCs/>
          <w:sz w:val="24"/>
          <w:szCs w:val="24"/>
        </w:rPr>
        <w:t xml:space="preserve"> </w:t>
      </w:r>
      <w:r w:rsidRPr="00981A4B">
        <w:rPr>
          <w:sz w:val="24"/>
          <w:szCs w:val="24"/>
        </w:rPr>
        <w:t>in the frequency bands 1 518-1 544 MHz, 1 545-1 559 MHz, 1 610-1 645.5 MHz, 1 646.5-1 660 MHz, 1 670-1 675 MHz and 2 483.5-2 500 MHz while ensuring the protection of, and without imposing additional regulatory or technical constraints on</w:t>
      </w:r>
      <w:r>
        <w:rPr>
          <w:sz w:val="24"/>
          <w:szCs w:val="24"/>
        </w:rPr>
        <w:t>,</w:t>
      </w:r>
      <w:r w:rsidRPr="00981A4B">
        <w:rPr>
          <w:sz w:val="24"/>
          <w:szCs w:val="24"/>
        </w:rPr>
        <w:t xml:space="preserve"> incumbent  services in these bands and adjacent frequency bands.  </w:t>
      </w:r>
    </w:p>
    <w:p w14:paraId="10DD203B" w14:textId="77777777" w:rsidR="00C53AA3" w:rsidRPr="00590D71" w:rsidRDefault="00C53AA3" w:rsidP="00C53AA3">
      <w:pPr>
        <w:pStyle w:val="BodyText"/>
        <w:spacing w:before="217"/>
        <w:ind w:right="145"/>
        <w:rPr>
          <w:sz w:val="24"/>
          <w:szCs w:val="24"/>
        </w:rPr>
      </w:pPr>
      <w:r w:rsidRPr="00981A4B">
        <w:rPr>
          <w:sz w:val="24"/>
          <w:szCs w:val="24"/>
        </w:rPr>
        <w:t xml:space="preserve">The United States is also of the view that </w:t>
      </w:r>
      <w:bookmarkStart w:id="2" w:name="_Hlk34915799"/>
      <w:r w:rsidRPr="00981A4B">
        <w:rPr>
          <w:sz w:val="24"/>
          <w:szCs w:val="24"/>
        </w:rPr>
        <w:t>the studies of space-to-space operations for consideration under this agenda item should be limited to links operating in the same direction of transmission as provided in the current allocations for the mobile-satellite service in the frequency bands under consideration.</w:t>
      </w:r>
      <w:bookmarkEnd w:id="2"/>
      <w:r w:rsidRPr="00981A4B">
        <w:rPr>
          <w:sz w:val="24"/>
          <w:szCs w:val="24"/>
        </w:rPr>
        <w:t xml:space="preserve"> The U.S. is further of the view that t</w:t>
      </w:r>
      <w:r w:rsidRPr="00981A4B">
        <w:rPr>
          <w:sz w:val="24"/>
          <w:szCs w:val="24"/>
          <w:lang w:val="en-GB"/>
        </w:rPr>
        <w:t>he existing regulatory framework, including that set forth in Article 21 referenced above,</w:t>
      </w:r>
      <w:r>
        <w:rPr>
          <w:sz w:val="24"/>
          <w:szCs w:val="24"/>
          <w:lang w:val="en-GB"/>
        </w:rPr>
        <w:t xml:space="preserve"> </w:t>
      </w:r>
      <w:r w:rsidRPr="00981A4B">
        <w:rPr>
          <w:sz w:val="24"/>
          <w:szCs w:val="24"/>
          <w:lang w:val="en-GB"/>
        </w:rPr>
        <w:t xml:space="preserve">and operational practices continue to govern transmissions for the downlink (space-to-Earth) direction, and should be appropriately applied to the space-to-space transmissions, thereby ensuring no additional interference or compatibility issues with incumbent service in the subject and adjacent bands.  </w:t>
      </w:r>
    </w:p>
    <w:p w14:paraId="0E2A2285" w14:textId="77777777" w:rsidR="00C53AA3" w:rsidRPr="00981A4B" w:rsidRDefault="00C53AA3" w:rsidP="00C53AA3">
      <w:pPr>
        <w:pStyle w:val="BodyText"/>
        <w:spacing w:before="217"/>
        <w:ind w:right="145"/>
        <w:rPr>
          <w:sz w:val="24"/>
          <w:szCs w:val="24"/>
        </w:rPr>
      </w:pPr>
    </w:p>
    <w:p w14:paraId="017B0CCE" w14:textId="77777777" w:rsidR="00C53AA3" w:rsidRPr="00590D71" w:rsidRDefault="00C53AA3" w:rsidP="00C53AA3">
      <w:pPr>
        <w:pStyle w:val="BodyText"/>
        <w:spacing w:before="217"/>
        <w:ind w:right="145"/>
        <w:rPr>
          <w:sz w:val="24"/>
          <w:szCs w:val="24"/>
          <w:lang w:val="en-GB"/>
        </w:rPr>
      </w:pPr>
    </w:p>
    <w:p w14:paraId="68A6EF0F" w14:textId="77777777" w:rsidR="00C53AA3" w:rsidRPr="00590D71" w:rsidRDefault="00C53AA3" w:rsidP="00C53AA3">
      <w:pPr>
        <w:pStyle w:val="BodyText"/>
        <w:spacing w:before="217"/>
        <w:ind w:left="117" w:right="145"/>
        <w:rPr>
          <w:sz w:val="24"/>
          <w:szCs w:val="24"/>
        </w:rPr>
      </w:pPr>
    </w:p>
    <w:p w14:paraId="672E0371" w14:textId="77777777" w:rsidR="00C53AA3" w:rsidRPr="00590D71" w:rsidRDefault="00C53AA3" w:rsidP="00C53AA3"/>
    <w:p w14:paraId="4EEB83EB" w14:textId="2C37F139" w:rsidR="00DF6653" w:rsidRPr="004566B8" w:rsidRDefault="00DF6653" w:rsidP="00EE3CD2">
      <w:pPr>
        <w:rPr>
          <w:b/>
          <w:bCs/>
          <w:sz w:val="24"/>
        </w:rPr>
      </w:pPr>
    </w:p>
    <w:sectPr w:rsidR="00DF6653" w:rsidRPr="004566B8" w:rsidSect="00E04CA9">
      <w:headerReference w:type="default" r:id="rId17"/>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9013B" w14:textId="77777777" w:rsidR="006A19D4" w:rsidRDefault="006A19D4">
      <w:r>
        <w:separator/>
      </w:r>
    </w:p>
  </w:endnote>
  <w:endnote w:type="continuationSeparator" w:id="0">
    <w:p w14:paraId="537CC79D" w14:textId="77777777" w:rsidR="006A19D4" w:rsidRDefault="006A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FFF98" w14:textId="77777777" w:rsidR="00C41FAE" w:rsidRPr="00F21240" w:rsidRDefault="00C41FAE">
    <w:pPr>
      <w:pStyle w:val="Footer"/>
      <w:framePr w:wrap="around" w:vAnchor="text" w:hAnchor="margin" w:xAlign="right" w:y="1"/>
      <w:rPr>
        <w:rStyle w:val="PageNumber"/>
        <w:sz w:val="22"/>
        <w:szCs w:val="22"/>
      </w:rPr>
    </w:pPr>
    <w:r w:rsidRPr="00F21240">
      <w:rPr>
        <w:rStyle w:val="PageNumber"/>
        <w:sz w:val="22"/>
        <w:szCs w:val="22"/>
      </w:rPr>
      <w:fldChar w:fldCharType="begin"/>
    </w:r>
    <w:r w:rsidRPr="00F21240">
      <w:rPr>
        <w:rStyle w:val="PageNumber"/>
        <w:sz w:val="22"/>
        <w:szCs w:val="22"/>
      </w:rPr>
      <w:instrText xml:space="preserve">PAGE  </w:instrText>
    </w:r>
    <w:r w:rsidRPr="00F21240">
      <w:rPr>
        <w:rStyle w:val="PageNumber"/>
        <w:sz w:val="22"/>
        <w:szCs w:val="22"/>
      </w:rPr>
      <w:fldChar w:fldCharType="separate"/>
    </w:r>
    <w:r w:rsidR="007C4674" w:rsidRPr="00F21240">
      <w:rPr>
        <w:rStyle w:val="PageNumber"/>
        <w:noProof/>
        <w:sz w:val="22"/>
        <w:szCs w:val="22"/>
      </w:rPr>
      <w:t>2</w:t>
    </w:r>
    <w:r w:rsidRPr="00F21240">
      <w:rPr>
        <w:rStyle w:val="PageNumber"/>
        <w:sz w:val="22"/>
        <w:szCs w:val="22"/>
      </w:rPr>
      <w:fldChar w:fldCharType="end"/>
    </w:r>
  </w:p>
  <w:p w14:paraId="64BD47E1" w14:textId="7C5FCA57" w:rsidR="00C41FAE" w:rsidRPr="00F21240" w:rsidRDefault="00F21240" w:rsidP="00915118">
    <w:pPr>
      <w:pStyle w:val="Footer"/>
      <w:tabs>
        <w:tab w:val="clear" w:pos="4419"/>
        <w:tab w:val="clear" w:pos="8838"/>
      </w:tabs>
      <w:ind w:right="360"/>
      <w:rPr>
        <w:sz w:val="22"/>
        <w:szCs w:val="22"/>
      </w:rPr>
    </w:pPr>
    <w:r w:rsidRPr="00F21240">
      <w:rPr>
        <w:snapToGrid w:val="0"/>
        <w:sz w:val="22"/>
        <w:szCs w:val="22"/>
      </w:rPr>
      <w:fldChar w:fldCharType="begin"/>
    </w:r>
    <w:r w:rsidRPr="00F21240">
      <w:rPr>
        <w:snapToGrid w:val="0"/>
        <w:sz w:val="22"/>
        <w:szCs w:val="22"/>
      </w:rPr>
      <w:instrText xml:space="preserve"> FILENAME </w:instrText>
    </w:r>
    <w:r w:rsidRPr="00F21240">
      <w:rPr>
        <w:snapToGrid w:val="0"/>
        <w:sz w:val="22"/>
        <w:szCs w:val="22"/>
      </w:rPr>
      <w:fldChar w:fldCharType="separate"/>
    </w:r>
    <w:r w:rsidR="00915118">
      <w:rPr>
        <w:noProof/>
        <w:snapToGrid w:val="0"/>
        <w:sz w:val="22"/>
        <w:szCs w:val="22"/>
      </w:rPr>
      <w:t>CCPII-2024-44-TemplateWRC_i.docx</w:t>
    </w:r>
    <w:r w:rsidRPr="00F21240">
      <w:rPr>
        <w:snapToGrid w:val="0"/>
        <w:sz w:val="22"/>
        <w:szCs w:val="22"/>
      </w:rPr>
      <w:fldChar w:fldCharType="end"/>
    </w:r>
    <w:r w:rsidR="00915118">
      <w:rPr>
        <w:snapToGrid w:val="0"/>
        <w:sz w:val="22"/>
        <w:szCs w:val="22"/>
      </w:rPr>
      <w:tab/>
    </w:r>
    <w:r w:rsidRPr="00F21240">
      <w:rPr>
        <w:sz w:val="22"/>
        <w:szCs w:val="22"/>
      </w:rPr>
      <w:tab/>
    </w:r>
    <w:r w:rsidR="00D65DD8">
      <w:rPr>
        <w:sz w:val="22"/>
        <w:szCs w:val="22"/>
        <w:lang w:val="es-ES"/>
      </w:rPr>
      <w:fldChar w:fldCharType="begin"/>
    </w:r>
    <w:r w:rsidR="00D65DD8">
      <w:rPr>
        <w:sz w:val="22"/>
        <w:szCs w:val="22"/>
        <w:lang w:val="es-ES"/>
      </w:rPr>
      <w:instrText xml:space="preserve"> TIME \@ "d.M.yy" </w:instrText>
    </w:r>
    <w:r w:rsidR="00D65DD8">
      <w:rPr>
        <w:sz w:val="22"/>
        <w:szCs w:val="22"/>
        <w:lang w:val="es-ES"/>
      </w:rPr>
      <w:fldChar w:fldCharType="separate"/>
    </w:r>
    <w:r w:rsidR="004F4B89">
      <w:rPr>
        <w:noProof/>
        <w:sz w:val="22"/>
        <w:szCs w:val="22"/>
        <w:lang w:val="es-ES"/>
      </w:rPr>
      <w:t>30.8.24</w:t>
    </w:r>
    <w:r w:rsidR="00D65DD8">
      <w:rPr>
        <w:sz w:val="22"/>
        <w:szCs w:val="22"/>
        <w:lang w:val="es-ES"/>
      </w:rPr>
      <w:fldChar w:fldCharType="end"/>
    </w:r>
    <w:r w:rsidR="00C41FAE" w:rsidRPr="00F21240">
      <w:rP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56735388"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C2032" w14:textId="77777777" w:rsidR="006A19D4" w:rsidRDefault="006A19D4">
      <w:r>
        <w:separator/>
      </w:r>
    </w:p>
  </w:footnote>
  <w:footnote w:type="continuationSeparator" w:id="0">
    <w:p w14:paraId="31EBC02C" w14:textId="77777777" w:rsidR="006A19D4" w:rsidRDefault="006A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0C27F" w14:textId="77777777" w:rsidR="00D65DD8" w:rsidRDefault="00D65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B1D71" w14:textId="77777777" w:rsidR="00D65DD8" w:rsidRDefault="00D65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17" w:type="dxa"/>
      <w:tblInd w:w="-45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87"/>
      <w:gridCol w:w="8730"/>
    </w:tblGrid>
    <w:tr w:rsidR="00C41FAE" w:rsidRPr="00C53AA3" w14:paraId="4F38018C" w14:textId="77777777" w:rsidTr="000E68AE">
      <w:trPr>
        <w:cantSplit/>
        <w:trHeight w:val="1710"/>
      </w:trPr>
      <w:tc>
        <w:tcPr>
          <w:tcW w:w="1487"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7C16B364">
                <wp:simplePos x="0" y="0"/>
                <wp:positionH relativeFrom="page">
                  <wp:posOffset>39675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B18FA"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E5B02"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05566"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1A693"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5C490"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C148DD" w:rsidRDefault="00016AF3">
          <w:pPr>
            <w:ind w:left="290"/>
            <w:rPr>
              <w:rFonts w:ascii="Arial" w:hAnsi="Arial" w:cs="Arial"/>
              <w:b/>
              <w:sz w:val="25"/>
              <w:szCs w:val="25"/>
              <w:lang w:val="es-ES"/>
            </w:rPr>
          </w:pPr>
          <w:r w:rsidRPr="00C148DD">
            <w:rPr>
              <w:rFonts w:ascii="Arial" w:hAnsi="Arial" w:cs="Arial"/>
              <w:b/>
              <w:sz w:val="25"/>
              <w:szCs w:val="25"/>
              <w:lang w:val="es-ES"/>
            </w:rPr>
            <w:t>ORGANIZACI</w:t>
          </w:r>
          <w:r w:rsidR="009762A5" w:rsidRPr="00C148DD">
            <w:rPr>
              <w:rFonts w:ascii="Arial" w:hAnsi="Arial" w:cs="Arial"/>
              <w:b/>
              <w:sz w:val="25"/>
              <w:szCs w:val="25"/>
              <w:lang w:val="es-ES"/>
            </w:rPr>
            <w:t>Ó</w:t>
          </w:r>
          <w:r w:rsidR="00C41FAE" w:rsidRPr="00C148DD">
            <w:rPr>
              <w:rFonts w:ascii="Arial" w:hAnsi="Arial" w:cs="Arial"/>
              <w:b/>
              <w:sz w:val="25"/>
              <w:szCs w:val="25"/>
              <w:lang w:val="es-ES"/>
            </w:rPr>
            <w:t xml:space="preserve">N DE LOS ESTADOS AMERICANOS </w:t>
          </w:r>
        </w:p>
        <w:p w14:paraId="48A5CFC3" w14:textId="77777777" w:rsidR="00C41FAE" w:rsidRPr="00C148DD" w:rsidRDefault="00C41FAE">
          <w:pPr>
            <w:ind w:left="290"/>
            <w:rPr>
              <w:rFonts w:ascii="Arial" w:hAnsi="Arial" w:cs="Arial"/>
              <w:b/>
              <w:sz w:val="25"/>
              <w:szCs w:val="25"/>
              <w:lang w:val="es-ES"/>
            </w:rPr>
          </w:pPr>
          <w:r w:rsidRPr="00C148DD">
            <w:rPr>
              <w:rFonts w:ascii="Arial" w:hAnsi="Arial" w:cs="Arial"/>
              <w:b/>
              <w:sz w:val="25"/>
              <w:szCs w:val="25"/>
              <w:lang w:val="es-ES"/>
            </w:rPr>
            <w:t xml:space="preserve">ORGANIZATION OF AMERICAN STATES </w:t>
          </w:r>
        </w:p>
        <w:p w14:paraId="1C204F1F" w14:textId="77777777" w:rsidR="00C41FAE" w:rsidRPr="00C148DD" w:rsidRDefault="00C41FAE">
          <w:pPr>
            <w:tabs>
              <w:tab w:val="left" w:pos="8300"/>
            </w:tabs>
            <w:ind w:right="200"/>
            <w:jc w:val="right"/>
            <w:rPr>
              <w:rFonts w:ascii="Arial" w:hAnsi="Arial" w:cs="Arial"/>
              <w:b/>
              <w:sz w:val="25"/>
              <w:szCs w:val="25"/>
              <w:lang w:val="es-ES"/>
            </w:rPr>
          </w:pPr>
        </w:p>
        <w:p w14:paraId="1E882597" w14:textId="77777777" w:rsidR="00C41FAE" w:rsidRPr="00C148DD" w:rsidRDefault="00C41FAE">
          <w:pPr>
            <w:tabs>
              <w:tab w:val="left" w:pos="8300"/>
            </w:tabs>
            <w:ind w:right="200"/>
            <w:jc w:val="right"/>
            <w:rPr>
              <w:rFonts w:ascii="Arial" w:hAnsi="Arial" w:cs="Arial"/>
              <w:b/>
              <w:sz w:val="25"/>
              <w:szCs w:val="25"/>
              <w:lang w:val="es-ES"/>
            </w:rPr>
          </w:pPr>
          <w:r w:rsidRPr="00C148DD">
            <w:rPr>
              <w:rFonts w:ascii="Arial" w:hAnsi="Arial" w:cs="Arial"/>
              <w:b/>
              <w:sz w:val="25"/>
              <w:szCs w:val="25"/>
              <w:lang w:val="es-ES"/>
            </w:rPr>
            <w:t>Comisión Interamericana de Telecomunicaciones</w:t>
          </w:r>
        </w:p>
        <w:p w14:paraId="6816D6B6" w14:textId="77777777" w:rsidR="00C41FAE" w:rsidRPr="00C148DD" w:rsidRDefault="00C41FAE">
          <w:pPr>
            <w:tabs>
              <w:tab w:val="left" w:pos="8300"/>
            </w:tabs>
            <w:ind w:right="200"/>
            <w:jc w:val="right"/>
            <w:rPr>
              <w:rFonts w:ascii="ZapfHumnst BT" w:hAnsi="ZapfHumnst BT"/>
              <w:b/>
              <w:sz w:val="25"/>
              <w:szCs w:val="25"/>
              <w:lang w:val="es-ES"/>
            </w:rPr>
          </w:pPr>
          <w:r w:rsidRPr="00C148DD">
            <w:rPr>
              <w:rFonts w:ascii="Arial" w:hAnsi="Arial" w:cs="Arial"/>
              <w:b/>
              <w:sz w:val="25"/>
              <w:szCs w:val="25"/>
              <w:lang w:val="es-ES"/>
            </w:rPr>
            <w:t>Inter-American Telecommunication Commission</w:t>
          </w:r>
        </w:p>
      </w:tc>
    </w:tr>
  </w:tbl>
  <w:p w14:paraId="32A0343F" w14:textId="77777777" w:rsidR="00C41FAE" w:rsidRPr="00DF6653" w:rsidRDefault="00C41FAE" w:rsidP="00B11C25">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1866403183">
    <w:abstractNumId w:val="0"/>
  </w:num>
  <w:num w:numId="2" w16cid:durableId="892891657">
    <w:abstractNumId w:val="2"/>
  </w:num>
  <w:num w:numId="3" w16cid:durableId="75444708">
    <w:abstractNumId w:val="4"/>
  </w:num>
  <w:num w:numId="4" w16cid:durableId="1183780543">
    <w:abstractNumId w:val="1"/>
  </w:num>
  <w:num w:numId="5" w16cid:durableId="2065710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258F"/>
    <w:rsid w:val="00016AF3"/>
    <w:rsid w:val="00036C89"/>
    <w:rsid w:val="00040B1C"/>
    <w:rsid w:val="0004372C"/>
    <w:rsid w:val="00047907"/>
    <w:rsid w:val="0006494B"/>
    <w:rsid w:val="000729CB"/>
    <w:rsid w:val="0009082A"/>
    <w:rsid w:val="00092B9A"/>
    <w:rsid w:val="000C13F4"/>
    <w:rsid w:val="000D09FC"/>
    <w:rsid w:val="000E0D26"/>
    <w:rsid w:val="000E519C"/>
    <w:rsid w:val="000E68AE"/>
    <w:rsid w:val="000F0EB4"/>
    <w:rsid w:val="000F672B"/>
    <w:rsid w:val="000F792F"/>
    <w:rsid w:val="001042D1"/>
    <w:rsid w:val="00130557"/>
    <w:rsid w:val="0013634A"/>
    <w:rsid w:val="00137555"/>
    <w:rsid w:val="0014316F"/>
    <w:rsid w:val="00147B70"/>
    <w:rsid w:val="00164759"/>
    <w:rsid w:val="001656B9"/>
    <w:rsid w:val="00175AC0"/>
    <w:rsid w:val="001C62FE"/>
    <w:rsid w:val="001E2B56"/>
    <w:rsid w:val="00200D77"/>
    <w:rsid w:val="00204E6D"/>
    <w:rsid w:val="00211705"/>
    <w:rsid w:val="00214619"/>
    <w:rsid w:val="002178DF"/>
    <w:rsid w:val="002240B4"/>
    <w:rsid w:val="00233132"/>
    <w:rsid w:val="0024202E"/>
    <w:rsid w:val="0025504C"/>
    <w:rsid w:val="00272043"/>
    <w:rsid w:val="002909CF"/>
    <w:rsid w:val="002A4370"/>
    <w:rsid w:val="002A6325"/>
    <w:rsid w:val="002B132D"/>
    <w:rsid w:val="002C3B9D"/>
    <w:rsid w:val="002F7DBB"/>
    <w:rsid w:val="003001F7"/>
    <w:rsid w:val="003068B6"/>
    <w:rsid w:val="003117D2"/>
    <w:rsid w:val="003154A6"/>
    <w:rsid w:val="0031615C"/>
    <w:rsid w:val="00316B8A"/>
    <w:rsid w:val="00323684"/>
    <w:rsid w:val="00330ADE"/>
    <w:rsid w:val="003330C5"/>
    <w:rsid w:val="00357A92"/>
    <w:rsid w:val="003701A5"/>
    <w:rsid w:val="00375A06"/>
    <w:rsid w:val="00394C7C"/>
    <w:rsid w:val="003B26CD"/>
    <w:rsid w:val="003D169D"/>
    <w:rsid w:val="00426E20"/>
    <w:rsid w:val="0045478F"/>
    <w:rsid w:val="004566B8"/>
    <w:rsid w:val="004571A3"/>
    <w:rsid w:val="00471B76"/>
    <w:rsid w:val="00481E2D"/>
    <w:rsid w:val="00482036"/>
    <w:rsid w:val="00482D07"/>
    <w:rsid w:val="00493129"/>
    <w:rsid w:val="004A7659"/>
    <w:rsid w:val="004B39D5"/>
    <w:rsid w:val="004D474D"/>
    <w:rsid w:val="004D7CD7"/>
    <w:rsid w:val="004E2D44"/>
    <w:rsid w:val="004E74AB"/>
    <w:rsid w:val="004F4B89"/>
    <w:rsid w:val="004F7C58"/>
    <w:rsid w:val="005156A2"/>
    <w:rsid w:val="00515919"/>
    <w:rsid w:val="005165B4"/>
    <w:rsid w:val="005175FB"/>
    <w:rsid w:val="00520426"/>
    <w:rsid w:val="0053030A"/>
    <w:rsid w:val="005308BE"/>
    <w:rsid w:val="005315BE"/>
    <w:rsid w:val="00532018"/>
    <w:rsid w:val="00543EEF"/>
    <w:rsid w:val="00560562"/>
    <w:rsid w:val="00584D4E"/>
    <w:rsid w:val="005863A9"/>
    <w:rsid w:val="005962C2"/>
    <w:rsid w:val="005A57AD"/>
    <w:rsid w:val="005A59CA"/>
    <w:rsid w:val="005B391F"/>
    <w:rsid w:val="005B5405"/>
    <w:rsid w:val="005B6C85"/>
    <w:rsid w:val="005C2D79"/>
    <w:rsid w:val="005C4FF3"/>
    <w:rsid w:val="005C60FF"/>
    <w:rsid w:val="005E2C5E"/>
    <w:rsid w:val="00602931"/>
    <w:rsid w:val="00603422"/>
    <w:rsid w:val="00620569"/>
    <w:rsid w:val="006445B1"/>
    <w:rsid w:val="00662EE2"/>
    <w:rsid w:val="00686D89"/>
    <w:rsid w:val="00696717"/>
    <w:rsid w:val="006A19D4"/>
    <w:rsid w:val="006C2785"/>
    <w:rsid w:val="006D29DC"/>
    <w:rsid w:val="006D315B"/>
    <w:rsid w:val="006D63BD"/>
    <w:rsid w:val="006E16A4"/>
    <w:rsid w:val="006F3040"/>
    <w:rsid w:val="007043EB"/>
    <w:rsid w:val="00757F6D"/>
    <w:rsid w:val="00762C5B"/>
    <w:rsid w:val="007907D1"/>
    <w:rsid w:val="007A0652"/>
    <w:rsid w:val="007C4674"/>
    <w:rsid w:val="007C70B1"/>
    <w:rsid w:val="007F4F0E"/>
    <w:rsid w:val="00804806"/>
    <w:rsid w:val="00807D30"/>
    <w:rsid w:val="00825084"/>
    <w:rsid w:val="0082548B"/>
    <w:rsid w:val="008264D0"/>
    <w:rsid w:val="008325E6"/>
    <w:rsid w:val="00835CCA"/>
    <w:rsid w:val="00840D79"/>
    <w:rsid w:val="0084584A"/>
    <w:rsid w:val="00851A6B"/>
    <w:rsid w:val="008535FB"/>
    <w:rsid w:val="00854E0B"/>
    <w:rsid w:val="00855704"/>
    <w:rsid w:val="00857D7C"/>
    <w:rsid w:val="008616D8"/>
    <w:rsid w:val="008819AD"/>
    <w:rsid w:val="00897200"/>
    <w:rsid w:val="008A26EB"/>
    <w:rsid w:val="008A61D6"/>
    <w:rsid w:val="008B66E9"/>
    <w:rsid w:val="008C70E1"/>
    <w:rsid w:val="008F141E"/>
    <w:rsid w:val="008F2196"/>
    <w:rsid w:val="00915118"/>
    <w:rsid w:val="00951448"/>
    <w:rsid w:val="0096041A"/>
    <w:rsid w:val="0096773A"/>
    <w:rsid w:val="009762A5"/>
    <w:rsid w:val="0097711D"/>
    <w:rsid w:val="009801AE"/>
    <w:rsid w:val="00982377"/>
    <w:rsid w:val="00986B91"/>
    <w:rsid w:val="009B3A10"/>
    <w:rsid w:val="009B3A2A"/>
    <w:rsid w:val="009B7B6A"/>
    <w:rsid w:val="009C5BF9"/>
    <w:rsid w:val="009E427F"/>
    <w:rsid w:val="00A0122F"/>
    <w:rsid w:val="00A21F24"/>
    <w:rsid w:val="00A339A9"/>
    <w:rsid w:val="00A36BD9"/>
    <w:rsid w:val="00A4159C"/>
    <w:rsid w:val="00A51807"/>
    <w:rsid w:val="00A6371A"/>
    <w:rsid w:val="00A91BE9"/>
    <w:rsid w:val="00AA2672"/>
    <w:rsid w:val="00AB17C2"/>
    <w:rsid w:val="00AC0FEE"/>
    <w:rsid w:val="00AD19A1"/>
    <w:rsid w:val="00AD2E19"/>
    <w:rsid w:val="00B11C25"/>
    <w:rsid w:val="00B3194A"/>
    <w:rsid w:val="00B335FC"/>
    <w:rsid w:val="00B35BBD"/>
    <w:rsid w:val="00B42446"/>
    <w:rsid w:val="00B47FB3"/>
    <w:rsid w:val="00B52A9B"/>
    <w:rsid w:val="00B63DC3"/>
    <w:rsid w:val="00B64C14"/>
    <w:rsid w:val="00B71FAB"/>
    <w:rsid w:val="00B83494"/>
    <w:rsid w:val="00B91A68"/>
    <w:rsid w:val="00BB75F2"/>
    <w:rsid w:val="00BC3156"/>
    <w:rsid w:val="00BC317B"/>
    <w:rsid w:val="00BE2796"/>
    <w:rsid w:val="00BF172C"/>
    <w:rsid w:val="00BF4130"/>
    <w:rsid w:val="00C01078"/>
    <w:rsid w:val="00C05C35"/>
    <w:rsid w:val="00C06068"/>
    <w:rsid w:val="00C14398"/>
    <w:rsid w:val="00C148DD"/>
    <w:rsid w:val="00C407E9"/>
    <w:rsid w:val="00C41FAE"/>
    <w:rsid w:val="00C439D7"/>
    <w:rsid w:val="00C47412"/>
    <w:rsid w:val="00C52356"/>
    <w:rsid w:val="00C53AA3"/>
    <w:rsid w:val="00C57390"/>
    <w:rsid w:val="00C9294D"/>
    <w:rsid w:val="00CA04C5"/>
    <w:rsid w:val="00CB70F8"/>
    <w:rsid w:val="00CD1C09"/>
    <w:rsid w:val="00CF50F0"/>
    <w:rsid w:val="00CF7528"/>
    <w:rsid w:val="00D10A19"/>
    <w:rsid w:val="00D26C36"/>
    <w:rsid w:val="00D65DD8"/>
    <w:rsid w:val="00D80FAB"/>
    <w:rsid w:val="00D87E29"/>
    <w:rsid w:val="00D949C7"/>
    <w:rsid w:val="00D96B94"/>
    <w:rsid w:val="00DB12E8"/>
    <w:rsid w:val="00DB3583"/>
    <w:rsid w:val="00DC4830"/>
    <w:rsid w:val="00DF3FB6"/>
    <w:rsid w:val="00DF6653"/>
    <w:rsid w:val="00E01269"/>
    <w:rsid w:val="00E04CA9"/>
    <w:rsid w:val="00E06311"/>
    <w:rsid w:val="00E120C7"/>
    <w:rsid w:val="00E16756"/>
    <w:rsid w:val="00E25223"/>
    <w:rsid w:val="00E41667"/>
    <w:rsid w:val="00E55E58"/>
    <w:rsid w:val="00E648C4"/>
    <w:rsid w:val="00E70641"/>
    <w:rsid w:val="00E71456"/>
    <w:rsid w:val="00E879C2"/>
    <w:rsid w:val="00EC417C"/>
    <w:rsid w:val="00ED49AA"/>
    <w:rsid w:val="00EE239A"/>
    <w:rsid w:val="00EE3CD2"/>
    <w:rsid w:val="00F21240"/>
    <w:rsid w:val="00F259D9"/>
    <w:rsid w:val="00F41393"/>
    <w:rsid w:val="00F4553D"/>
    <w:rsid w:val="00F62A22"/>
    <w:rsid w:val="00F63C10"/>
    <w:rsid w:val="00F822D4"/>
    <w:rsid w:val="00F825EB"/>
    <w:rsid w:val="00FA216B"/>
    <w:rsid w:val="00FB264C"/>
    <w:rsid w:val="00FB5584"/>
    <w:rsid w:val="00FD1C9C"/>
    <w:rsid w:val="00FE72DF"/>
    <w:rsid w:val="00FE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rsid w:val="00DB12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53AA3"/>
    <w:pPr>
      <w:spacing w:after="120"/>
    </w:pPr>
  </w:style>
  <w:style w:type="character" w:customStyle="1" w:styleId="BodyTextChar">
    <w:name w:val="Body Text Char"/>
    <w:basedOn w:val="DefaultParagraphFont"/>
    <w:link w:val="BodyText"/>
    <w:rsid w:val="00C53AA3"/>
  </w:style>
  <w:style w:type="paragraph" w:styleId="NormalWeb">
    <w:name w:val="Normal (Web)"/>
    <w:basedOn w:val="Normal"/>
    <w:uiPriority w:val="99"/>
    <w:unhideWhenUsed/>
    <w:rsid w:val="00C53AA3"/>
    <w:pPr>
      <w:spacing w:after="300" w:line="360" w:lineRule="atLeast"/>
    </w:pPr>
    <w:rPr>
      <w:color w:val="77777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8" ma:contentTypeDescription="Create a new document." ma:contentTypeScope="" ma:versionID="245891c3b2db21cd732f49f340f2ff2b">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4c21e04211c1532d899b8aa5d0a605b"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8CB92F-593A-43FC-8B15-B116C000A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3.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4.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TEMPLATE - ENGLISH VERSION</vt:lpstr>
    </vt:vector>
  </TitlesOfParts>
  <Manager/>
  <Company>CITEL</Company>
  <LinksUpToDate>false</LinksUpToDate>
  <CharactersWithSpaces>5389</CharactersWithSpaces>
  <SharedDoc>false</SharedDoc>
  <HyperlinkBase/>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WRC - ENGLISH VERSION</dc:title>
  <dc:subject/>
  <dc:creator>CITEL</dc:creator>
  <cp:keywords/>
  <dc:description>VB</dc:description>
  <cp:lastModifiedBy>Glass, Charles</cp:lastModifiedBy>
  <cp:revision>2</cp:revision>
  <cp:lastPrinted>1999-10-11T18:56:00Z</cp:lastPrinted>
  <dcterms:created xsi:type="dcterms:W3CDTF">2024-08-30T12:28:00Z</dcterms:created>
  <dcterms:modified xsi:type="dcterms:W3CDTF">2024-08-30T12:28:00Z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i4>33091800</vt:i4>
  </property>
  <property fmtid="{D5CDD505-2E9C-101B-9397-08002B2CF9AE}" pid="7" name="MediaServiceImageTags">
    <vt:lpwstr/>
  </property>
</Properties>
</file>