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5E22D" w14:textId="33BAD21D" w:rsidR="00EB0CCD" w:rsidRPr="00EB0CCD" w:rsidRDefault="00EB0CCD" w:rsidP="00EB0CCD">
      <w:pPr>
        <w:spacing w:after="0" w:line="240" w:lineRule="auto"/>
        <w:jc w:val="center"/>
        <w:rPr>
          <w:b/>
          <w:sz w:val="32"/>
          <w:szCs w:val="24"/>
          <w:u w:val="single"/>
        </w:rPr>
      </w:pPr>
      <w:bookmarkStart w:id="0" w:name="_GoBack"/>
      <w:bookmarkEnd w:id="0"/>
      <w:r w:rsidRPr="00EB0CCD">
        <w:rPr>
          <w:b/>
          <w:sz w:val="32"/>
          <w:szCs w:val="24"/>
          <w:u w:val="single"/>
        </w:rPr>
        <w:t>BDAC Removing State and Local Regulatory Barriers Working Group</w:t>
      </w:r>
    </w:p>
    <w:p w14:paraId="7A72BC60" w14:textId="77777777" w:rsidR="00EB0CCD" w:rsidRDefault="00EB0CCD" w:rsidP="004A62A6">
      <w:pPr>
        <w:spacing w:after="0" w:line="240" w:lineRule="auto"/>
        <w:rPr>
          <w:sz w:val="24"/>
          <w:szCs w:val="24"/>
        </w:rPr>
      </w:pPr>
    </w:p>
    <w:p w14:paraId="1809772B" w14:textId="71A94BCB" w:rsidR="00077182" w:rsidRPr="00404DF7" w:rsidRDefault="00BC238F" w:rsidP="004A62A6">
      <w:pPr>
        <w:spacing w:after="0" w:line="240" w:lineRule="auto"/>
        <w:rPr>
          <w:sz w:val="24"/>
          <w:szCs w:val="24"/>
        </w:rPr>
      </w:pPr>
      <w:r w:rsidRPr="00404DF7">
        <w:rPr>
          <w:sz w:val="24"/>
          <w:szCs w:val="24"/>
        </w:rPr>
        <w:t xml:space="preserve">On January 31, </w:t>
      </w:r>
      <w:r w:rsidR="00273317" w:rsidRPr="00404DF7">
        <w:rPr>
          <w:sz w:val="24"/>
          <w:szCs w:val="24"/>
        </w:rPr>
        <w:t>2017, t</w:t>
      </w:r>
      <w:r w:rsidR="008306BA" w:rsidRPr="00404DF7">
        <w:rPr>
          <w:sz w:val="24"/>
          <w:szCs w:val="24"/>
        </w:rPr>
        <w:t>he F</w:t>
      </w:r>
      <w:r w:rsidR="00383AF2" w:rsidRPr="00404DF7">
        <w:rPr>
          <w:sz w:val="24"/>
          <w:szCs w:val="24"/>
        </w:rPr>
        <w:t>ederal Communications Commission (F</w:t>
      </w:r>
      <w:r w:rsidR="008306BA" w:rsidRPr="00404DF7">
        <w:rPr>
          <w:sz w:val="24"/>
          <w:szCs w:val="24"/>
        </w:rPr>
        <w:t>CC</w:t>
      </w:r>
      <w:r w:rsidR="00674FCB" w:rsidRPr="00404DF7">
        <w:rPr>
          <w:sz w:val="24"/>
          <w:szCs w:val="24"/>
        </w:rPr>
        <w:t xml:space="preserve"> or Commission</w:t>
      </w:r>
      <w:r w:rsidR="00383AF2" w:rsidRPr="00404DF7">
        <w:rPr>
          <w:sz w:val="24"/>
          <w:szCs w:val="24"/>
        </w:rPr>
        <w:t>)</w:t>
      </w:r>
      <w:r w:rsidR="008306BA" w:rsidRPr="00404DF7">
        <w:rPr>
          <w:sz w:val="24"/>
          <w:szCs w:val="24"/>
        </w:rPr>
        <w:t xml:space="preserve"> established the B</w:t>
      </w:r>
      <w:r w:rsidR="00383AF2" w:rsidRPr="00404DF7">
        <w:rPr>
          <w:sz w:val="24"/>
          <w:szCs w:val="24"/>
        </w:rPr>
        <w:t>roadband Deployment Advisory Committee (B</w:t>
      </w:r>
      <w:r w:rsidR="008306BA" w:rsidRPr="00404DF7">
        <w:rPr>
          <w:sz w:val="24"/>
          <w:szCs w:val="24"/>
        </w:rPr>
        <w:t>DAC</w:t>
      </w:r>
      <w:r w:rsidR="00383AF2" w:rsidRPr="00404DF7">
        <w:rPr>
          <w:sz w:val="24"/>
          <w:szCs w:val="24"/>
        </w:rPr>
        <w:t>)</w:t>
      </w:r>
      <w:r w:rsidR="008306BA" w:rsidRPr="00404DF7">
        <w:rPr>
          <w:sz w:val="24"/>
          <w:szCs w:val="24"/>
        </w:rPr>
        <w:t xml:space="preserve"> to </w:t>
      </w:r>
      <w:r w:rsidR="00D01856" w:rsidRPr="00404DF7">
        <w:rPr>
          <w:sz w:val="24"/>
          <w:szCs w:val="24"/>
        </w:rPr>
        <w:t>“</w:t>
      </w:r>
      <w:r w:rsidRPr="00404DF7">
        <w:rPr>
          <w:sz w:val="24"/>
          <w:szCs w:val="24"/>
        </w:rPr>
        <w:t>make recommendations to the Commission on how to accelerate the deployment of high-speed Internet access, or “broadband,” by reducing and/or removing regulatory barriers to infrastructure investment.</w:t>
      </w:r>
      <w:r w:rsidR="00D01856" w:rsidRPr="00404DF7">
        <w:rPr>
          <w:sz w:val="24"/>
          <w:szCs w:val="24"/>
        </w:rPr>
        <w:t>”</w:t>
      </w:r>
      <w:r w:rsidR="00D01856" w:rsidRPr="00404DF7">
        <w:rPr>
          <w:rStyle w:val="FootnoteReference"/>
          <w:rFonts w:asciiTheme="minorHAnsi" w:hAnsiTheme="minorHAnsi"/>
          <w:sz w:val="24"/>
          <w:szCs w:val="24"/>
        </w:rPr>
        <w:footnoteReference w:id="2"/>
      </w:r>
      <w:r w:rsidR="008306BA" w:rsidRPr="00404DF7">
        <w:rPr>
          <w:sz w:val="24"/>
          <w:szCs w:val="24"/>
        </w:rPr>
        <w:t xml:space="preserve"> </w:t>
      </w:r>
      <w:r w:rsidR="00BC0C2D" w:rsidRPr="00404DF7">
        <w:rPr>
          <w:sz w:val="24"/>
          <w:szCs w:val="24"/>
        </w:rPr>
        <w:t>T</w:t>
      </w:r>
      <w:r w:rsidR="00D834BF" w:rsidRPr="00404DF7">
        <w:rPr>
          <w:sz w:val="24"/>
          <w:szCs w:val="24"/>
        </w:rPr>
        <w:t>o facilitate BDAC’s</w:t>
      </w:r>
      <w:r w:rsidR="00BC0C2D" w:rsidRPr="00404DF7">
        <w:rPr>
          <w:sz w:val="24"/>
          <w:szCs w:val="24"/>
        </w:rPr>
        <w:t xml:space="preserve"> endeavors</w:t>
      </w:r>
      <w:r w:rsidR="00D834BF" w:rsidRPr="00404DF7">
        <w:rPr>
          <w:sz w:val="24"/>
          <w:szCs w:val="24"/>
        </w:rPr>
        <w:t xml:space="preserve">, </w:t>
      </w:r>
      <w:r w:rsidR="00273317" w:rsidRPr="00404DF7">
        <w:rPr>
          <w:sz w:val="24"/>
          <w:szCs w:val="24"/>
        </w:rPr>
        <w:t xml:space="preserve">the </w:t>
      </w:r>
      <w:r w:rsidR="00B30F1C" w:rsidRPr="00404DF7">
        <w:rPr>
          <w:sz w:val="24"/>
          <w:szCs w:val="24"/>
        </w:rPr>
        <w:t>Commission</w:t>
      </w:r>
      <w:r w:rsidR="00273317" w:rsidRPr="00404DF7">
        <w:rPr>
          <w:sz w:val="24"/>
          <w:szCs w:val="24"/>
        </w:rPr>
        <w:t xml:space="preserve"> </w:t>
      </w:r>
      <w:r w:rsidR="005042CF" w:rsidRPr="00404DF7">
        <w:rPr>
          <w:sz w:val="24"/>
          <w:szCs w:val="24"/>
        </w:rPr>
        <w:t>create</w:t>
      </w:r>
      <w:r w:rsidR="00A14763" w:rsidRPr="00404DF7">
        <w:rPr>
          <w:sz w:val="24"/>
          <w:szCs w:val="24"/>
        </w:rPr>
        <w:t>d</w:t>
      </w:r>
      <w:r w:rsidR="00273317" w:rsidRPr="00404DF7">
        <w:rPr>
          <w:sz w:val="24"/>
          <w:szCs w:val="24"/>
        </w:rPr>
        <w:t xml:space="preserve"> five working groups comprised of BDAC members as well as other selected individuals</w:t>
      </w:r>
      <w:r w:rsidR="00D834BF" w:rsidRPr="00404DF7">
        <w:rPr>
          <w:sz w:val="24"/>
          <w:szCs w:val="24"/>
        </w:rPr>
        <w:t xml:space="preserve">. Each of these working groups </w:t>
      </w:r>
      <w:r w:rsidR="00390EE2" w:rsidRPr="00404DF7">
        <w:rPr>
          <w:sz w:val="24"/>
          <w:szCs w:val="24"/>
        </w:rPr>
        <w:t>was</w:t>
      </w:r>
      <w:r w:rsidR="00273317" w:rsidRPr="00404DF7">
        <w:rPr>
          <w:sz w:val="24"/>
          <w:szCs w:val="24"/>
        </w:rPr>
        <w:t xml:space="preserve"> </w:t>
      </w:r>
      <w:r w:rsidR="00D834BF" w:rsidRPr="00404DF7">
        <w:rPr>
          <w:sz w:val="24"/>
          <w:szCs w:val="24"/>
        </w:rPr>
        <w:t xml:space="preserve">tasked with analyzing specific </w:t>
      </w:r>
      <w:r w:rsidR="00273317" w:rsidRPr="00404DF7">
        <w:rPr>
          <w:sz w:val="24"/>
          <w:szCs w:val="24"/>
        </w:rPr>
        <w:t xml:space="preserve">topics </w:t>
      </w:r>
      <w:r w:rsidR="00D834BF" w:rsidRPr="00404DF7">
        <w:rPr>
          <w:sz w:val="24"/>
          <w:szCs w:val="24"/>
        </w:rPr>
        <w:t>to</w:t>
      </w:r>
      <w:r w:rsidR="00273317" w:rsidRPr="00404DF7">
        <w:rPr>
          <w:sz w:val="24"/>
          <w:szCs w:val="24"/>
        </w:rPr>
        <w:t xml:space="preserve"> develop recommendations</w:t>
      </w:r>
      <w:r w:rsidR="00092921" w:rsidRPr="00404DF7">
        <w:rPr>
          <w:sz w:val="24"/>
          <w:szCs w:val="24"/>
        </w:rPr>
        <w:t xml:space="preserve"> including possible recommendations for further study</w:t>
      </w:r>
      <w:r w:rsidR="00077182" w:rsidRPr="00404DF7">
        <w:rPr>
          <w:sz w:val="24"/>
          <w:szCs w:val="24"/>
        </w:rPr>
        <w:t>.</w:t>
      </w:r>
    </w:p>
    <w:p w14:paraId="1809772C" w14:textId="77777777" w:rsidR="00674FCB" w:rsidRPr="00404DF7" w:rsidRDefault="00674FCB" w:rsidP="004A62A6">
      <w:pPr>
        <w:spacing w:after="0" w:line="240" w:lineRule="auto"/>
        <w:rPr>
          <w:bCs/>
          <w:sz w:val="24"/>
          <w:szCs w:val="24"/>
        </w:rPr>
      </w:pPr>
    </w:p>
    <w:p w14:paraId="1809772D" w14:textId="3DADFB54" w:rsidR="00535475" w:rsidRPr="00B547C3" w:rsidRDefault="00C3351F" w:rsidP="004A62A6">
      <w:pPr>
        <w:spacing w:after="0" w:line="240" w:lineRule="auto"/>
        <w:rPr>
          <w:sz w:val="24"/>
          <w:szCs w:val="24"/>
        </w:rPr>
      </w:pPr>
      <w:r w:rsidRPr="00404DF7">
        <w:rPr>
          <w:sz w:val="24"/>
          <w:szCs w:val="24"/>
        </w:rPr>
        <w:t>On May 16, 2017, the Commission announced the membership of the BDAC Removing State and Local Regulatory Barriers Working Group</w:t>
      </w:r>
      <w:r w:rsidR="003D5E70">
        <w:rPr>
          <w:sz w:val="24"/>
          <w:szCs w:val="24"/>
        </w:rPr>
        <w:t xml:space="preserve"> (“Barriers WG”)</w:t>
      </w:r>
      <w:r w:rsidRPr="00404DF7">
        <w:rPr>
          <w:sz w:val="24"/>
          <w:szCs w:val="24"/>
        </w:rPr>
        <w:t xml:space="preserve">. </w:t>
      </w:r>
      <w:r w:rsidR="008D1EE2" w:rsidRPr="00404DF7">
        <w:rPr>
          <w:sz w:val="24"/>
          <w:szCs w:val="24"/>
        </w:rPr>
        <w:t>It</w:t>
      </w:r>
      <w:r w:rsidR="00674FCB" w:rsidRPr="00404DF7">
        <w:rPr>
          <w:sz w:val="24"/>
          <w:szCs w:val="24"/>
        </w:rPr>
        <w:t xml:space="preserve"> was </w:t>
      </w:r>
      <w:r w:rsidR="00077182" w:rsidRPr="00404DF7">
        <w:rPr>
          <w:sz w:val="24"/>
          <w:szCs w:val="24"/>
        </w:rPr>
        <w:t>tasked to</w:t>
      </w:r>
      <w:r w:rsidR="003D75A8" w:rsidRPr="00B222AE">
        <w:rPr>
          <w:rStyle w:val="FootnoteReference"/>
          <w:rFonts w:asciiTheme="minorHAnsi" w:hAnsiTheme="minorHAnsi"/>
          <w:sz w:val="24"/>
          <w:szCs w:val="24"/>
        </w:rPr>
        <w:footnoteReference w:id="3"/>
      </w:r>
      <w:r w:rsidR="00A91C17" w:rsidRPr="0069105A">
        <w:rPr>
          <w:sz w:val="24"/>
          <w:szCs w:val="24"/>
        </w:rPr>
        <w:t>—</w:t>
      </w:r>
    </w:p>
    <w:p w14:paraId="1809772E" w14:textId="77777777" w:rsidR="00AA0544" w:rsidRPr="009F08DA" w:rsidRDefault="00AA0544" w:rsidP="004A62A6">
      <w:pPr>
        <w:spacing w:after="0" w:line="240" w:lineRule="auto"/>
        <w:rPr>
          <w:bCs/>
          <w:sz w:val="24"/>
          <w:szCs w:val="24"/>
        </w:rPr>
      </w:pPr>
    </w:p>
    <w:p w14:paraId="1809772F" w14:textId="372F9A6F" w:rsidR="00877AEC" w:rsidRDefault="00877AEC" w:rsidP="004A62A6">
      <w:pPr>
        <w:pStyle w:val="ListParagraph"/>
        <w:numPr>
          <w:ilvl w:val="0"/>
          <w:numId w:val="22"/>
        </w:numPr>
        <w:spacing w:after="0" w:line="240" w:lineRule="auto"/>
        <w:rPr>
          <w:sz w:val="24"/>
          <w:szCs w:val="24"/>
        </w:rPr>
      </w:pPr>
      <w:r w:rsidRPr="009F08DA">
        <w:rPr>
          <w:sz w:val="24"/>
          <w:szCs w:val="24"/>
        </w:rPr>
        <w:t>Identify patterns of specific instances of actions at the state and local level that serve as barriers to broadband deployment, such as deployment moratoria, unfair or burde</w:t>
      </w:r>
      <w:r w:rsidRPr="00404DF7">
        <w:rPr>
          <w:sz w:val="24"/>
          <w:szCs w:val="24"/>
        </w:rPr>
        <w:t xml:space="preserve">nsome rights-of-way negotiation and approval processes, excessive fees and other costs, unreasonable conditions, and bad faith negotiation practices.  </w:t>
      </w:r>
      <w:r w:rsidR="003D75A8" w:rsidRPr="00404DF7">
        <w:rPr>
          <w:sz w:val="24"/>
          <w:szCs w:val="24"/>
        </w:rPr>
        <w:t>The Working Group will p</w:t>
      </w:r>
      <w:r w:rsidRPr="00404DF7">
        <w:rPr>
          <w:sz w:val="24"/>
          <w:szCs w:val="24"/>
        </w:rPr>
        <w:t xml:space="preserve">rovide </w:t>
      </w:r>
      <w:r w:rsidR="00E57073" w:rsidRPr="00404DF7">
        <w:rPr>
          <w:sz w:val="24"/>
          <w:szCs w:val="24"/>
        </w:rPr>
        <w:t xml:space="preserve">policy </w:t>
      </w:r>
      <w:r w:rsidRPr="00404DF7">
        <w:rPr>
          <w:sz w:val="24"/>
          <w:szCs w:val="24"/>
        </w:rPr>
        <w:t>recommendations to the Commission on how to address the patterns of specific instances identified.</w:t>
      </w:r>
    </w:p>
    <w:p w14:paraId="7205448A" w14:textId="77777777" w:rsidR="007D56F3" w:rsidRPr="00404DF7" w:rsidRDefault="007D56F3" w:rsidP="007748CC">
      <w:pPr>
        <w:pStyle w:val="ListParagraph"/>
        <w:spacing w:after="0" w:line="240" w:lineRule="auto"/>
        <w:rPr>
          <w:sz w:val="24"/>
          <w:szCs w:val="24"/>
        </w:rPr>
      </w:pPr>
    </w:p>
    <w:p w14:paraId="18097730" w14:textId="06CDB18C" w:rsidR="00877AEC" w:rsidRPr="00404DF7" w:rsidRDefault="00877AEC" w:rsidP="004A62A6">
      <w:pPr>
        <w:pStyle w:val="ListParagraph"/>
        <w:numPr>
          <w:ilvl w:val="0"/>
          <w:numId w:val="22"/>
        </w:numPr>
        <w:spacing w:after="0" w:line="240" w:lineRule="auto"/>
        <w:rPr>
          <w:sz w:val="24"/>
          <w:szCs w:val="24"/>
        </w:rPr>
      </w:pPr>
      <w:r w:rsidRPr="00404DF7">
        <w:rPr>
          <w:sz w:val="24"/>
          <w:szCs w:val="24"/>
        </w:rPr>
        <w:t>Identify examples and discuss the consequences of local governmental restrictions that may “prohibit or have the effect of prohibiting” service by, for example, requiring “undergrounding for wireless facilities,” placing restrictions on the placement of communications facilities in a right of way, prohibiting upgrades to facilities, and prohibiting the placement of new poles in a right-of-way</w:t>
      </w:r>
      <w:r w:rsidR="4BA540B4" w:rsidRPr="00404DF7">
        <w:rPr>
          <w:sz w:val="24"/>
          <w:szCs w:val="24"/>
        </w:rPr>
        <w:t>,</w:t>
      </w:r>
      <w:r w:rsidR="63BA090F" w:rsidRPr="00404DF7">
        <w:rPr>
          <w:sz w:val="24"/>
          <w:szCs w:val="24"/>
        </w:rPr>
        <w:t xml:space="preserve"> and to r</w:t>
      </w:r>
      <w:r w:rsidRPr="00404DF7">
        <w:rPr>
          <w:sz w:val="24"/>
          <w:szCs w:val="24"/>
        </w:rPr>
        <w:t>ecommend solutions.</w:t>
      </w:r>
    </w:p>
    <w:p w14:paraId="4F23542C" w14:textId="77777777" w:rsidR="007D56F3" w:rsidRDefault="007D56F3" w:rsidP="007748CC">
      <w:pPr>
        <w:pStyle w:val="ListParagraph"/>
        <w:spacing w:after="0" w:line="240" w:lineRule="auto"/>
        <w:rPr>
          <w:sz w:val="24"/>
          <w:szCs w:val="24"/>
        </w:rPr>
      </w:pPr>
    </w:p>
    <w:p w14:paraId="18097731" w14:textId="3F69EA93" w:rsidR="00877AEC" w:rsidRPr="00404DF7" w:rsidRDefault="00877AEC" w:rsidP="004A62A6">
      <w:pPr>
        <w:pStyle w:val="ListParagraph"/>
        <w:numPr>
          <w:ilvl w:val="0"/>
          <w:numId w:val="22"/>
        </w:numPr>
        <w:spacing w:after="0" w:line="240" w:lineRule="auto"/>
        <w:rPr>
          <w:sz w:val="24"/>
          <w:szCs w:val="24"/>
        </w:rPr>
      </w:pPr>
      <w:r w:rsidRPr="00404DF7">
        <w:rPr>
          <w:sz w:val="24"/>
          <w:szCs w:val="24"/>
        </w:rPr>
        <w:t xml:space="preserve">Examine the extent to which </w:t>
      </w:r>
      <w:r w:rsidR="00F41DDA">
        <w:rPr>
          <w:sz w:val="24"/>
          <w:szCs w:val="24"/>
        </w:rPr>
        <w:t xml:space="preserve">municipalities </w:t>
      </w:r>
      <w:r w:rsidRPr="00404DF7">
        <w:rPr>
          <w:sz w:val="24"/>
          <w:szCs w:val="24"/>
        </w:rPr>
        <w:t xml:space="preserve">may single out communications-related deployments for more burdensome treatment than other deployments that have the same or similar impacts on land use, and make </w:t>
      </w:r>
      <w:r w:rsidR="00E57073" w:rsidRPr="00404DF7">
        <w:rPr>
          <w:sz w:val="24"/>
          <w:szCs w:val="24"/>
        </w:rPr>
        <w:t xml:space="preserve">policy </w:t>
      </w:r>
      <w:r w:rsidRPr="00404DF7">
        <w:rPr>
          <w:sz w:val="24"/>
          <w:szCs w:val="24"/>
        </w:rPr>
        <w:t>recommendations for addressing such disparate outcomes.</w:t>
      </w:r>
    </w:p>
    <w:p w14:paraId="313F4BA3" w14:textId="77777777" w:rsidR="00EB0CCD" w:rsidRDefault="00EB0CCD" w:rsidP="004A62A6">
      <w:pPr>
        <w:spacing w:after="0" w:line="240" w:lineRule="auto"/>
        <w:rPr>
          <w:b/>
          <w:bCs/>
          <w:sz w:val="24"/>
          <w:szCs w:val="24"/>
        </w:rPr>
      </w:pPr>
    </w:p>
    <w:p w14:paraId="18097736" w14:textId="77777777" w:rsidR="000A1272" w:rsidRDefault="00636F99" w:rsidP="004A62A6">
      <w:pPr>
        <w:spacing w:after="0" w:line="240" w:lineRule="auto"/>
        <w:rPr>
          <w:b/>
          <w:bCs/>
          <w:sz w:val="24"/>
          <w:szCs w:val="24"/>
        </w:rPr>
      </w:pPr>
      <w:r w:rsidRPr="00404DF7">
        <w:rPr>
          <w:b/>
          <w:bCs/>
          <w:sz w:val="24"/>
          <w:szCs w:val="24"/>
        </w:rPr>
        <w:t>BACKGROUND</w:t>
      </w:r>
    </w:p>
    <w:p w14:paraId="3759B6B8" w14:textId="77777777" w:rsidR="00EB0CCD" w:rsidRPr="00404DF7" w:rsidRDefault="00EB0CCD" w:rsidP="004A62A6">
      <w:pPr>
        <w:spacing w:after="0" w:line="240" w:lineRule="auto"/>
        <w:rPr>
          <w:b/>
          <w:bCs/>
          <w:sz w:val="24"/>
          <w:szCs w:val="24"/>
        </w:rPr>
      </w:pPr>
    </w:p>
    <w:p w14:paraId="18097738" w14:textId="357119B7" w:rsidR="00B72999" w:rsidRPr="00404DF7" w:rsidRDefault="007F2B5D" w:rsidP="004A62A6">
      <w:pPr>
        <w:spacing w:after="0" w:line="240" w:lineRule="auto"/>
        <w:rPr>
          <w:sz w:val="24"/>
          <w:szCs w:val="24"/>
        </w:rPr>
      </w:pPr>
      <w:r w:rsidRPr="0069105A">
        <w:rPr>
          <w:sz w:val="24"/>
          <w:szCs w:val="24"/>
        </w:rPr>
        <w:t xml:space="preserve">Broadband access </w:t>
      </w:r>
      <w:r w:rsidR="21518D57" w:rsidRPr="00B547C3">
        <w:rPr>
          <w:sz w:val="24"/>
          <w:szCs w:val="24"/>
        </w:rPr>
        <w:t>is an increasingly essential compon</w:t>
      </w:r>
      <w:r w:rsidR="21518D57" w:rsidRPr="009F08DA">
        <w:rPr>
          <w:sz w:val="24"/>
          <w:szCs w:val="24"/>
        </w:rPr>
        <w:t xml:space="preserve">ent of modern life. It delivers </w:t>
      </w:r>
      <w:r w:rsidRPr="009F08DA">
        <w:rPr>
          <w:sz w:val="24"/>
          <w:szCs w:val="24"/>
        </w:rPr>
        <w:t xml:space="preserve">important civic, educational, and recreational benefits and </w:t>
      </w:r>
      <w:r w:rsidR="7CA115F9" w:rsidRPr="009F08DA">
        <w:rPr>
          <w:sz w:val="24"/>
          <w:szCs w:val="24"/>
        </w:rPr>
        <w:t xml:space="preserve">is </w:t>
      </w:r>
      <w:r w:rsidRPr="00B222AE">
        <w:rPr>
          <w:sz w:val="24"/>
          <w:szCs w:val="24"/>
        </w:rPr>
        <w:t>a</w:t>
      </w:r>
      <w:r w:rsidR="7CA115F9" w:rsidRPr="00B222AE">
        <w:rPr>
          <w:sz w:val="24"/>
          <w:szCs w:val="24"/>
        </w:rPr>
        <w:t xml:space="preserve">n important </w:t>
      </w:r>
      <w:r w:rsidRPr="00B222AE">
        <w:rPr>
          <w:sz w:val="24"/>
          <w:szCs w:val="24"/>
        </w:rPr>
        <w:t xml:space="preserve">driver of economic growth. </w:t>
      </w:r>
      <w:r w:rsidR="7CA115F9" w:rsidRPr="00B222AE">
        <w:rPr>
          <w:sz w:val="24"/>
          <w:szCs w:val="24"/>
        </w:rPr>
        <w:t>To date, b</w:t>
      </w:r>
      <w:r w:rsidR="00390EE2" w:rsidRPr="00404DF7">
        <w:rPr>
          <w:sz w:val="24"/>
          <w:szCs w:val="24"/>
        </w:rPr>
        <w:t xml:space="preserve">roadband </w:t>
      </w:r>
      <w:r w:rsidR="00493A87" w:rsidRPr="00404DF7">
        <w:rPr>
          <w:sz w:val="24"/>
          <w:szCs w:val="24"/>
        </w:rPr>
        <w:t xml:space="preserve">has been </w:t>
      </w:r>
      <w:r w:rsidR="00CD301A" w:rsidRPr="00404DF7">
        <w:rPr>
          <w:sz w:val="24"/>
          <w:szCs w:val="24"/>
        </w:rPr>
        <w:t xml:space="preserve">deployed </w:t>
      </w:r>
      <w:r w:rsidR="00493A87" w:rsidRPr="00404DF7">
        <w:rPr>
          <w:sz w:val="24"/>
          <w:szCs w:val="24"/>
        </w:rPr>
        <w:t xml:space="preserve">via </w:t>
      </w:r>
      <w:r w:rsidR="10D9029D" w:rsidRPr="00404DF7">
        <w:rPr>
          <w:sz w:val="24"/>
          <w:szCs w:val="24"/>
        </w:rPr>
        <w:t>a range of</w:t>
      </w:r>
      <w:r w:rsidR="00493A87" w:rsidRPr="00404DF7">
        <w:rPr>
          <w:sz w:val="24"/>
          <w:szCs w:val="24"/>
        </w:rPr>
        <w:t xml:space="preserve"> different </w:t>
      </w:r>
      <w:r w:rsidR="000C4D85" w:rsidRPr="00404DF7">
        <w:rPr>
          <w:sz w:val="24"/>
          <w:szCs w:val="24"/>
        </w:rPr>
        <w:t xml:space="preserve">technologies </w:t>
      </w:r>
      <w:r w:rsidR="00493A87" w:rsidRPr="00404DF7">
        <w:rPr>
          <w:sz w:val="24"/>
          <w:szCs w:val="24"/>
        </w:rPr>
        <w:t>(w</w:t>
      </w:r>
      <w:r w:rsidR="00B1721E" w:rsidRPr="00404DF7">
        <w:rPr>
          <w:sz w:val="24"/>
          <w:szCs w:val="24"/>
        </w:rPr>
        <w:t>ireline,</w:t>
      </w:r>
      <w:r w:rsidR="00390EE2" w:rsidRPr="00404DF7">
        <w:rPr>
          <w:sz w:val="24"/>
          <w:szCs w:val="24"/>
        </w:rPr>
        <w:t xml:space="preserve"> fixed wireless, mobile</w:t>
      </w:r>
      <w:r w:rsidR="00493A87" w:rsidRPr="00404DF7">
        <w:rPr>
          <w:sz w:val="24"/>
          <w:szCs w:val="24"/>
        </w:rPr>
        <w:t>)</w:t>
      </w:r>
      <w:r w:rsidR="00CD301A" w:rsidRPr="00404DF7">
        <w:rPr>
          <w:sz w:val="24"/>
          <w:szCs w:val="24"/>
        </w:rPr>
        <w:t xml:space="preserve"> and has been deployed by a number of providers, including incumbent local </w:t>
      </w:r>
      <w:r w:rsidR="00CD301A" w:rsidRPr="00404DF7">
        <w:rPr>
          <w:sz w:val="24"/>
          <w:szCs w:val="24"/>
        </w:rPr>
        <w:lastRenderedPageBreak/>
        <w:t>exchange carriers (ILECs), competitive local exchange carriers (CLECs), cable companies, and wireless providers, all of whom operate under different federal and state regulatory regimes.</w:t>
      </w:r>
      <w:r w:rsidR="3508E859" w:rsidRPr="00404DF7">
        <w:rPr>
          <w:sz w:val="24"/>
          <w:szCs w:val="24"/>
        </w:rPr>
        <w:t xml:space="preserve"> These networks are constantly evolving. Indeed, </w:t>
      </w:r>
      <w:r w:rsidR="4EC58DDF" w:rsidRPr="00404DF7">
        <w:rPr>
          <w:sz w:val="24"/>
          <w:szCs w:val="24"/>
        </w:rPr>
        <w:t xml:space="preserve">new </w:t>
      </w:r>
      <w:r w:rsidR="005224B4" w:rsidRPr="00404DF7">
        <w:rPr>
          <w:sz w:val="24"/>
          <w:szCs w:val="24"/>
        </w:rPr>
        <w:t xml:space="preserve">services, such as 5G </w:t>
      </w:r>
      <w:r w:rsidR="009D7495" w:rsidRPr="00404DF7">
        <w:rPr>
          <w:sz w:val="24"/>
          <w:szCs w:val="24"/>
        </w:rPr>
        <w:t>wireless</w:t>
      </w:r>
      <w:r w:rsidR="005224B4" w:rsidRPr="00404DF7">
        <w:rPr>
          <w:sz w:val="24"/>
          <w:szCs w:val="24"/>
        </w:rPr>
        <w:t xml:space="preserve"> </w:t>
      </w:r>
      <w:r w:rsidR="00493A87" w:rsidRPr="00404DF7">
        <w:rPr>
          <w:sz w:val="24"/>
          <w:szCs w:val="24"/>
        </w:rPr>
        <w:t>services</w:t>
      </w:r>
      <w:r w:rsidR="005224B4" w:rsidRPr="00404DF7">
        <w:rPr>
          <w:sz w:val="24"/>
          <w:szCs w:val="24"/>
        </w:rPr>
        <w:t xml:space="preserve">, </w:t>
      </w:r>
      <w:r w:rsidR="4EC58DDF" w:rsidRPr="00404DF7">
        <w:rPr>
          <w:sz w:val="24"/>
          <w:szCs w:val="24"/>
        </w:rPr>
        <w:t>are</w:t>
      </w:r>
      <w:r w:rsidR="005224B4" w:rsidRPr="00404DF7">
        <w:rPr>
          <w:sz w:val="24"/>
          <w:szCs w:val="24"/>
        </w:rPr>
        <w:t xml:space="preserve"> on the horizon. </w:t>
      </w:r>
    </w:p>
    <w:p w14:paraId="18097739" w14:textId="77777777" w:rsidR="00B72999" w:rsidRPr="00404DF7" w:rsidRDefault="00B72999" w:rsidP="004A62A6">
      <w:pPr>
        <w:spacing w:after="0" w:line="240" w:lineRule="auto"/>
        <w:rPr>
          <w:sz w:val="24"/>
          <w:szCs w:val="24"/>
        </w:rPr>
      </w:pPr>
    </w:p>
    <w:p w14:paraId="1809773A" w14:textId="31086B69" w:rsidR="00F55042" w:rsidRPr="009F08DA" w:rsidRDefault="406FAEDD" w:rsidP="004A62A6">
      <w:pPr>
        <w:spacing w:after="0" w:line="240" w:lineRule="auto"/>
        <w:rPr>
          <w:sz w:val="24"/>
          <w:szCs w:val="24"/>
        </w:rPr>
      </w:pPr>
      <w:r w:rsidRPr="00404DF7">
        <w:rPr>
          <w:sz w:val="24"/>
          <w:szCs w:val="24"/>
        </w:rPr>
        <w:t>D</w:t>
      </w:r>
      <w:r w:rsidR="003044B1" w:rsidRPr="00404DF7">
        <w:rPr>
          <w:sz w:val="24"/>
          <w:szCs w:val="24"/>
        </w:rPr>
        <w:t xml:space="preserve">eploying </w:t>
      </w:r>
      <w:r w:rsidR="2A76627C" w:rsidRPr="00404DF7">
        <w:rPr>
          <w:sz w:val="24"/>
          <w:szCs w:val="24"/>
        </w:rPr>
        <w:t>new b</w:t>
      </w:r>
      <w:r w:rsidR="003044B1" w:rsidRPr="00404DF7">
        <w:rPr>
          <w:sz w:val="24"/>
          <w:szCs w:val="24"/>
        </w:rPr>
        <w:t xml:space="preserve">roadband networks </w:t>
      </w:r>
      <w:r w:rsidR="2A76627C" w:rsidRPr="00404DF7">
        <w:rPr>
          <w:sz w:val="24"/>
          <w:szCs w:val="24"/>
        </w:rPr>
        <w:t xml:space="preserve">and upgrading existing ones is </w:t>
      </w:r>
      <w:r w:rsidR="00390EE2" w:rsidRPr="00404DF7">
        <w:rPr>
          <w:sz w:val="24"/>
          <w:szCs w:val="24"/>
        </w:rPr>
        <w:t>not</w:t>
      </w:r>
      <w:r w:rsidR="003044B1" w:rsidRPr="00404DF7">
        <w:rPr>
          <w:sz w:val="24"/>
          <w:szCs w:val="24"/>
        </w:rPr>
        <w:t xml:space="preserve"> easy.</w:t>
      </w:r>
      <w:r w:rsidR="00302A8C" w:rsidRPr="00404DF7">
        <w:rPr>
          <w:sz w:val="24"/>
          <w:szCs w:val="24"/>
        </w:rPr>
        <w:t xml:space="preserve"> The deployment of broadband entails local franchising, zoning, permitting and</w:t>
      </w:r>
      <w:r w:rsidR="0021584A" w:rsidRPr="00404DF7">
        <w:rPr>
          <w:sz w:val="24"/>
          <w:szCs w:val="24"/>
        </w:rPr>
        <w:t xml:space="preserve"> access to</w:t>
      </w:r>
      <w:r w:rsidR="00302A8C" w:rsidRPr="00404DF7">
        <w:rPr>
          <w:sz w:val="24"/>
          <w:szCs w:val="24"/>
        </w:rPr>
        <w:t xml:space="preserve"> rights-of-ways</w:t>
      </w:r>
      <w:r w:rsidR="00B404E4">
        <w:rPr>
          <w:sz w:val="24"/>
          <w:szCs w:val="24"/>
        </w:rPr>
        <w:t xml:space="preserve"> (ROW)</w:t>
      </w:r>
      <w:r w:rsidR="00302A8C" w:rsidRPr="00404DF7">
        <w:rPr>
          <w:sz w:val="24"/>
          <w:szCs w:val="24"/>
        </w:rPr>
        <w:t xml:space="preserve"> </w:t>
      </w:r>
      <w:r w:rsidR="0021584A" w:rsidRPr="00404DF7">
        <w:rPr>
          <w:sz w:val="24"/>
          <w:szCs w:val="24"/>
        </w:rPr>
        <w:t>as well as</w:t>
      </w:r>
      <w:r w:rsidR="00302A8C" w:rsidRPr="00404DF7">
        <w:rPr>
          <w:sz w:val="24"/>
          <w:szCs w:val="24"/>
        </w:rPr>
        <w:t xml:space="preserve"> </w:t>
      </w:r>
      <w:r w:rsidR="009D05E7">
        <w:rPr>
          <w:sz w:val="24"/>
          <w:szCs w:val="24"/>
        </w:rPr>
        <w:t>clearing</w:t>
      </w:r>
      <w:r w:rsidR="009D05E7" w:rsidRPr="00404DF7">
        <w:rPr>
          <w:sz w:val="24"/>
          <w:szCs w:val="24"/>
        </w:rPr>
        <w:t xml:space="preserve"> </w:t>
      </w:r>
      <w:r w:rsidR="00302A8C" w:rsidRPr="00404DF7">
        <w:rPr>
          <w:sz w:val="24"/>
          <w:szCs w:val="24"/>
        </w:rPr>
        <w:t xml:space="preserve">environmental and historical </w:t>
      </w:r>
      <w:r w:rsidR="003922A2">
        <w:rPr>
          <w:sz w:val="24"/>
          <w:szCs w:val="24"/>
        </w:rPr>
        <w:t>approvals</w:t>
      </w:r>
      <w:r w:rsidR="002B38FA" w:rsidRPr="00404DF7">
        <w:rPr>
          <w:sz w:val="24"/>
          <w:szCs w:val="24"/>
        </w:rPr>
        <w:t xml:space="preserve">. These </w:t>
      </w:r>
      <w:r w:rsidR="003922A2">
        <w:rPr>
          <w:sz w:val="24"/>
          <w:szCs w:val="24"/>
        </w:rPr>
        <w:t xml:space="preserve">processes </w:t>
      </w:r>
      <w:r w:rsidR="0021584A" w:rsidRPr="00404DF7">
        <w:rPr>
          <w:sz w:val="24"/>
          <w:szCs w:val="24"/>
        </w:rPr>
        <w:t xml:space="preserve">are </w:t>
      </w:r>
      <w:r w:rsidR="000C0B5F" w:rsidRPr="00404DF7">
        <w:rPr>
          <w:sz w:val="24"/>
          <w:szCs w:val="24"/>
        </w:rPr>
        <w:t xml:space="preserve">generally </w:t>
      </w:r>
      <w:r w:rsidR="00493A87" w:rsidRPr="00404DF7">
        <w:rPr>
          <w:sz w:val="24"/>
          <w:szCs w:val="24"/>
        </w:rPr>
        <w:t xml:space="preserve">overseen </w:t>
      </w:r>
      <w:r w:rsidR="000C0B5F" w:rsidRPr="00404DF7">
        <w:rPr>
          <w:sz w:val="24"/>
          <w:szCs w:val="24"/>
        </w:rPr>
        <w:t xml:space="preserve">by each local </w:t>
      </w:r>
      <w:r w:rsidR="00CD6501" w:rsidRPr="00404DF7">
        <w:rPr>
          <w:sz w:val="24"/>
          <w:szCs w:val="24"/>
        </w:rPr>
        <w:t>government</w:t>
      </w:r>
      <w:r w:rsidR="0021584A" w:rsidRPr="00404DF7">
        <w:rPr>
          <w:sz w:val="24"/>
          <w:szCs w:val="24"/>
        </w:rPr>
        <w:t>, and</w:t>
      </w:r>
      <w:r w:rsidR="009543EB">
        <w:rPr>
          <w:sz w:val="24"/>
          <w:szCs w:val="24"/>
        </w:rPr>
        <w:t>, in some instances, can</w:t>
      </w:r>
      <w:r w:rsidR="0021584A" w:rsidRPr="00404DF7">
        <w:rPr>
          <w:sz w:val="24"/>
          <w:szCs w:val="24"/>
        </w:rPr>
        <w:t xml:space="preserve"> </w:t>
      </w:r>
      <w:r w:rsidR="00B404E4">
        <w:rPr>
          <w:sz w:val="24"/>
          <w:szCs w:val="24"/>
        </w:rPr>
        <w:t xml:space="preserve">act (or </w:t>
      </w:r>
      <w:r w:rsidR="0059205E">
        <w:rPr>
          <w:sz w:val="24"/>
          <w:szCs w:val="24"/>
        </w:rPr>
        <w:t xml:space="preserve">be </w:t>
      </w:r>
      <w:r w:rsidR="00B404E4">
        <w:rPr>
          <w:sz w:val="24"/>
          <w:szCs w:val="24"/>
        </w:rPr>
        <w:t xml:space="preserve">perceived as acting) </w:t>
      </w:r>
      <w:r w:rsidR="00493A87" w:rsidRPr="00404DF7">
        <w:rPr>
          <w:sz w:val="24"/>
          <w:szCs w:val="24"/>
        </w:rPr>
        <w:t xml:space="preserve">as </w:t>
      </w:r>
      <w:r w:rsidR="00302A8C" w:rsidRPr="00404DF7">
        <w:rPr>
          <w:sz w:val="24"/>
          <w:szCs w:val="24"/>
        </w:rPr>
        <w:t xml:space="preserve">barriers </w:t>
      </w:r>
      <w:r w:rsidR="00CB0109">
        <w:rPr>
          <w:sz w:val="24"/>
          <w:szCs w:val="24"/>
        </w:rPr>
        <w:t xml:space="preserve">to the timely deployment of </w:t>
      </w:r>
      <w:r w:rsidR="00302A8C" w:rsidRPr="00404DF7">
        <w:rPr>
          <w:sz w:val="24"/>
          <w:szCs w:val="24"/>
        </w:rPr>
        <w:t>broadband.</w:t>
      </w:r>
      <w:r w:rsidR="003044B1" w:rsidRPr="00404DF7">
        <w:rPr>
          <w:sz w:val="24"/>
          <w:szCs w:val="24"/>
        </w:rPr>
        <w:t xml:space="preserve"> </w:t>
      </w:r>
      <w:r w:rsidR="08FF8A9A" w:rsidRPr="0069105A">
        <w:rPr>
          <w:sz w:val="24"/>
          <w:szCs w:val="24"/>
        </w:rPr>
        <w:t xml:space="preserve">There are also instances when </w:t>
      </w:r>
      <w:r w:rsidR="00CD301A" w:rsidRPr="00B547C3">
        <w:rPr>
          <w:sz w:val="24"/>
          <w:szCs w:val="24"/>
        </w:rPr>
        <w:t>broadband providers</w:t>
      </w:r>
      <w:r w:rsidR="08FF8A9A" w:rsidRPr="009F08DA">
        <w:rPr>
          <w:sz w:val="24"/>
          <w:szCs w:val="24"/>
        </w:rPr>
        <w:t xml:space="preserve"> delay the process by failing to provide all the necessary materials requested by a </w:t>
      </w:r>
      <w:r w:rsidR="00CD6501" w:rsidRPr="009F08DA">
        <w:rPr>
          <w:sz w:val="24"/>
          <w:szCs w:val="24"/>
        </w:rPr>
        <w:t>local</w:t>
      </w:r>
      <w:r w:rsidR="08FF8A9A" w:rsidRPr="00B222AE">
        <w:rPr>
          <w:sz w:val="24"/>
          <w:szCs w:val="24"/>
        </w:rPr>
        <w:t xml:space="preserve"> </w:t>
      </w:r>
      <w:r w:rsidR="001A32ED">
        <w:rPr>
          <w:sz w:val="24"/>
          <w:szCs w:val="24"/>
        </w:rPr>
        <w:t>government</w:t>
      </w:r>
      <w:r w:rsidR="08FF8A9A" w:rsidRPr="00B222AE">
        <w:rPr>
          <w:sz w:val="24"/>
          <w:szCs w:val="24"/>
        </w:rPr>
        <w:t xml:space="preserve">. </w:t>
      </w:r>
      <w:r w:rsidR="021C7E7C" w:rsidRPr="00B222AE">
        <w:rPr>
          <w:sz w:val="24"/>
          <w:szCs w:val="24"/>
        </w:rPr>
        <w:t xml:space="preserve">Not all delays, however, are intentional. </w:t>
      </w:r>
      <w:r w:rsidR="009D05E7">
        <w:rPr>
          <w:sz w:val="24"/>
          <w:szCs w:val="24"/>
        </w:rPr>
        <w:t>I</w:t>
      </w:r>
      <w:r w:rsidR="021C7E7C" w:rsidRPr="00B222AE">
        <w:rPr>
          <w:sz w:val="24"/>
          <w:szCs w:val="24"/>
        </w:rPr>
        <w:t xml:space="preserve">n many instances, </w:t>
      </w:r>
      <w:r w:rsidR="00CD6501" w:rsidRPr="00404DF7">
        <w:rPr>
          <w:sz w:val="24"/>
          <w:szCs w:val="24"/>
        </w:rPr>
        <w:t>local governments</w:t>
      </w:r>
      <w:r w:rsidR="021C7E7C" w:rsidRPr="00404DF7">
        <w:rPr>
          <w:sz w:val="24"/>
          <w:szCs w:val="24"/>
        </w:rPr>
        <w:t xml:space="preserve"> simply lack the </w:t>
      </w:r>
      <w:r w:rsidR="003044B1" w:rsidRPr="00404DF7">
        <w:rPr>
          <w:sz w:val="24"/>
          <w:szCs w:val="24"/>
        </w:rPr>
        <w:t xml:space="preserve">resources or expertise to </w:t>
      </w:r>
      <w:r w:rsidR="357CAF00" w:rsidRPr="00404DF7">
        <w:rPr>
          <w:sz w:val="24"/>
          <w:szCs w:val="24"/>
        </w:rPr>
        <w:t xml:space="preserve">act on requests in a timely manner or otherwise </w:t>
      </w:r>
      <w:r w:rsidR="003044B1" w:rsidRPr="00404DF7">
        <w:rPr>
          <w:sz w:val="24"/>
          <w:szCs w:val="24"/>
        </w:rPr>
        <w:t>develop deployment-friendly policies</w:t>
      </w:r>
      <w:r w:rsidR="009A49F5" w:rsidRPr="00404DF7">
        <w:rPr>
          <w:sz w:val="24"/>
          <w:szCs w:val="24"/>
        </w:rPr>
        <w:t xml:space="preserve">. </w:t>
      </w:r>
      <w:r w:rsidR="24379424" w:rsidRPr="00404DF7">
        <w:rPr>
          <w:sz w:val="24"/>
          <w:szCs w:val="24"/>
        </w:rPr>
        <w:t>In some cases, s</w:t>
      </w:r>
      <w:r w:rsidR="00F636F1" w:rsidRPr="00404DF7">
        <w:rPr>
          <w:sz w:val="24"/>
          <w:szCs w:val="24"/>
        </w:rPr>
        <w:t xml:space="preserve">tate governments have </w:t>
      </w:r>
      <w:r w:rsidR="00493A87" w:rsidRPr="00404DF7">
        <w:rPr>
          <w:sz w:val="24"/>
          <w:szCs w:val="24"/>
        </w:rPr>
        <w:t xml:space="preserve">enacted </w:t>
      </w:r>
      <w:r w:rsidR="003D6B76" w:rsidRPr="00404DF7">
        <w:rPr>
          <w:sz w:val="24"/>
          <w:szCs w:val="24"/>
        </w:rPr>
        <w:t xml:space="preserve">regulations </w:t>
      </w:r>
      <w:r w:rsidR="00CD6501" w:rsidRPr="00404DF7">
        <w:rPr>
          <w:sz w:val="24"/>
          <w:szCs w:val="24"/>
        </w:rPr>
        <w:t xml:space="preserve">to </w:t>
      </w:r>
      <w:r w:rsidR="00594C34" w:rsidRPr="00404DF7">
        <w:rPr>
          <w:sz w:val="24"/>
          <w:szCs w:val="24"/>
        </w:rPr>
        <w:t>direct and</w:t>
      </w:r>
      <w:r w:rsidR="00493A87" w:rsidRPr="00404DF7">
        <w:rPr>
          <w:sz w:val="24"/>
          <w:szCs w:val="24"/>
        </w:rPr>
        <w:t xml:space="preserve"> guide </w:t>
      </w:r>
      <w:r w:rsidR="00F41DDA">
        <w:rPr>
          <w:sz w:val="24"/>
          <w:szCs w:val="24"/>
        </w:rPr>
        <w:t>localities</w:t>
      </w:r>
      <w:r w:rsidR="004D3138" w:rsidRPr="00404DF7">
        <w:rPr>
          <w:sz w:val="24"/>
          <w:szCs w:val="24"/>
        </w:rPr>
        <w:t xml:space="preserve"> i</w:t>
      </w:r>
      <w:r w:rsidR="00493A87" w:rsidRPr="009F08DA">
        <w:rPr>
          <w:sz w:val="24"/>
          <w:szCs w:val="24"/>
        </w:rPr>
        <w:t>n carrying out their oversight of broadband deployment.</w:t>
      </w:r>
    </w:p>
    <w:p w14:paraId="1809773B" w14:textId="77777777" w:rsidR="009A49F5" w:rsidRPr="009F08DA" w:rsidRDefault="009A49F5" w:rsidP="004A62A6">
      <w:pPr>
        <w:spacing w:after="0" w:line="240" w:lineRule="auto"/>
        <w:rPr>
          <w:sz w:val="24"/>
          <w:szCs w:val="24"/>
        </w:rPr>
      </w:pPr>
    </w:p>
    <w:p w14:paraId="1809773C" w14:textId="63A6973B" w:rsidR="00EA0E21" w:rsidRPr="00404DF7" w:rsidRDefault="00043F83" w:rsidP="004A62A6">
      <w:pPr>
        <w:spacing w:after="0" w:line="240" w:lineRule="auto"/>
        <w:rPr>
          <w:sz w:val="24"/>
          <w:szCs w:val="24"/>
        </w:rPr>
      </w:pPr>
      <w:r w:rsidRPr="00404DF7">
        <w:rPr>
          <w:sz w:val="24"/>
          <w:szCs w:val="24"/>
        </w:rPr>
        <w:t xml:space="preserve">Recognizing </w:t>
      </w:r>
      <w:r w:rsidR="00394E71" w:rsidRPr="00404DF7">
        <w:rPr>
          <w:sz w:val="24"/>
          <w:szCs w:val="24"/>
        </w:rPr>
        <w:t xml:space="preserve">the complexities of deploying broadband and </w:t>
      </w:r>
      <w:r w:rsidR="000A2FAF" w:rsidRPr="00404DF7">
        <w:rPr>
          <w:sz w:val="24"/>
          <w:szCs w:val="24"/>
        </w:rPr>
        <w:t xml:space="preserve">the </w:t>
      </w:r>
      <w:r w:rsidR="00394E71" w:rsidRPr="00404DF7">
        <w:rPr>
          <w:sz w:val="24"/>
          <w:szCs w:val="24"/>
        </w:rPr>
        <w:t>challenges faced by s</w:t>
      </w:r>
      <w:r w:rsidR="69F1365B" w:rsidRPr="00404DF7">
        <w:rPr>
          <w:sz w:val="24"/>
          <w:szCs w:val="24"/>
        </w:rPr>
        <w:t>takeholders in the public and private sector</w:t>
      </w:r>
      <w:r w:rsidR="000C4F31">
        <w:rPr>
          <w:sz w:val="24"/>
          <w:szCs w:val="24"/>
        </w:rPr>
        <w:t>s</w:t>
      </w:r>
      <w:r w:rsidR="00394E71" w:rsidRPr="00404DF7">
        <w:rPr>
          <w:sz w:val="24"/>
          <w:szCs w:val="24"/>
        </w:rPr>
        <w:t>, the Commission open</w:t>
      </w:r>
      <w:r w:rsidR="000A2FAF" w:rsidRPr="00404DF7">
        <w:rPr>
          <w:sz w:val="24"/>
          <w:szCs w:val="24"/>
        </w:rPr>
        <w:t>ed</w:t>
      </w:r>
      <w:r w:rsidR="00394E71" w:rsidRPr="00404DF7">
        <w:rPr>
          <w:sz w:val="24"/>
          <w:szCs w:val="24"/>
        </w:rPr>
        <w:t xml:space="preserve"> two proceedings </w:t>
      </w:r>
      <w:r w:rsidR="2A57AA79" w:rsidRPr="00404DF7">
        <w:rPr>
          <w:sz w:val="24"/>
          <w:szCs w:val="24"/>
        </w:rPr>
        <w:t xml:space="preserve">to explore how it </w:t>
      </w:r>
      <w:r w:rsidR="508115C7" w:rsidRPr="00404DF7">
        <w:rPr>
          <w:sz w:val="24"/>
          <w:szCs w:val="24"/>
        </w:rPr>
        <w:t xml:space="preserve">might </w:t>
      </w:r>
      <w:r w:rsidR="00E5271C" w:rsidRPr="00404DF7">
        <w:rPr>
          <w:sz w:val="24"/>
          <w:szCs w:val="24"/>
        </w:rPr>
        <w:t>a</w:t>
      </w:r>
      <w:r w:rsidR="00394E71" w:rsidRPr="00404DF7">
        <w:rPr>
          <w:sz w:val="24"/>
          <w:szCs w:val="24"/>
        </w:rPr>
        <w:t>ccelerat</w:t>
      </w:r>
      <w:r w:rsidR="2A57AA79" w:rsidRPr="00404DF7">
        <w:rPr>
          <w:sz w:val="24"/>
          <w:szCs w:val="24"/>
        </w:rPr>
        <w:t>e</w:t>
      </w:r>
      <w:r w:rsidR="00394E71" w:rsidRPr="00404DF7">
        <w:rPr>
          <w:sz w:val="24"/>
          <w:szCs w:val="24"/>
        </w:rPr>
        <w:t xml:space="preserve"> </w:t>
      </w:r>
      <w:r w:rsidR="00E5271C" w:rsidRPr="00404DF7">
        <w:rPr>
          <w:sz w:val="24"/>
          <w:szCs w:val="24"/>
        </w:rPr>
        <w:t>b</w:t>
      </w:r>
      <w:r w:rsidR="00394E71" w:rsidRPr="00404DF7">
        <w:rPr>
          <w:sz w:val="24"/>
          <w:szCs w:val="24"/>
        </w:rPr>
        <w:t xml:space="preserve">roadband </w:t>
      </w:r>
      <w:r w:rsidR="00095FA0" w:rsidRPr="00404DF7">
        <w:rPr>
          <w:sz w:val="24"/>
          <w:szCs w:val="24"/>
        </w:rPr>
        <w:t>infrastructure deployment</w:t>
      </w:r>
      <w:r w:rsidR="508115C7" w:rsidRPr="00404DF7">
        <w:rPr>
          <w:sz w:val="24"/>
          <w:szCs w:val="24"/>
        </w:rPr>
        <w:t xml:space="preserve"> by, among other things,</w:t>
      </w:r>
      <w:r w:rsidR="4AD04327" w:rsidRPr="00404DF7">
        <w:rPr>
          <w:sz w:val="24"/>
          <w:szCs w:val="24"/>
        </w:rPr>
        <w:t xml:space="preserve"> </w:t>
      </w:r>
      <w:r w:rsidR="000C4F31">
        <w:rPr>
          <w:sz w:val="24"/>
          <w:szCs w:val="24"/>
        </w:rPr>
        <w:t xml:space="preserve">addressing </w:t>
      </w:r>
      <w:r w:rsidR="00551342" w:rsidRPr="00404DF7">
        <w:rPr>
          <w:sz w:val="24"/>
          <w:szCs w:val="24"/>
        </w:rPr>
        <w:t xml:space="preserve">regulatory barriers to wireline </w:t>
      </w:r>
      <w:r w:rsidR="00F1590F" w:rsidRPr="00404DF7">
        <w:rPr>
          <w:sz w:val="24"/>
          <w:szCs w:val="24"/>
        </w:rPr>
        <w:t xml:space="preserve">and wireless </w:t>
      </w:r>
      <w:r w:rsidR="00551342" w:rsidRPr="00404DF7">
        <w:rPr>
          <w:sz w:val="24"/>
          <w:szCs w:val="24"/>
        </w:rPr>
        <w:t>broadband infrastructure deployment</w:t>
      </w:r>
      <w:r w:rsidR="003D6B76" w:rsidRPr="00404DF7">
        <w:rPr>
          <w:sz w:val="24"/>
          <w:szCs w:val="24"/>
        </w:rPr>
        <w:t xml:space="preserve"> consistent with the law and public interest</w:t>
      </w:r>
      <w:r w:rsidR="00551342" w:rsidRPr="00404DF7">
        <w:rPr>
          <w:sz w:val="24"/>
          <w:szCs w:val="24"/>
        </w:rPr>
        <w:t>.</w:t>
      </w:r>
      <w:r w:rsidR="00F1590F" w:rsidRPr="00404DF7">
        <w:rPr>
          <w:rStyle w:val="FootnoteReference"/>
          <w:rFonts w:asciiTheme="minorHAnsi" w:hAnsiTheme="minorHAnsi"/>
          <w:sz w:val="24"/>
          <w:szCs w:val="24"/>
        </w:rPr>
        <w:footnoteReference w:id="4"/>
      </w:r>
      <w:r w:rsidR="00F1590F" w:rsidRPr="00404DF7">
        <w:rPr>
          <w:sz w:val="24"/>
          <w:szCs w:val="24"/>
        </w:rPr>
        <w:t xml:space="preserve"> </w:t>
      </w:r>
      <w:r w:rsidR="4AD04327" w:rsidRPr="00404DF7">
        <w:rPr>
          <w:sz w:val="24"/>
          <w:szCs w:val="24"/>
        </w:rPr>
        <w:t xml:space="preserve">These proceedings </w:t>
      </w:r>
      <w:r w:rsidR="546882F8" w:rsidRPr="00404DF7">
        <w:rPr>
          <w:sz w:val="24"/>
          <w:szCs w:val="24"/>
        </w:rPr>
        <w:t xml:space="preserve">elicited </w:t>
      </w:r>
      <w:r w:rsidR="00095FA0" w:rsidRPr="00404DF7">
        <w:rPr>
          <w:sz w:val="24"/>
          <w:szCs w:val="24"/>
        </w:rPr>
        <w:t>hundreds of comments f</w:t>
      </w:r>
      <w:r w:rsidR="546882F8" w:rsidRPr="00404DF7">
        <w:rPr>
          <w:sz w:val="24"/>
          <w:szCs w:val="24"/>
        </w:rPr>
        <w:t xml:space="preserve">rom </w:t>
      </w:r>
      <w:r w:rsidR="000C4F31">
        <w:rPr>
          <w:sz w:val="24"/>
          <w:szCs w:val="24"/>
        </w:rPr>
        <w:t xml:space="preserve">a range of </w:t>
      </w:r>
      <w:r w:rsidR="00E57073" w:rsidRPr="00404DF7">
        <w:rPr>
          <w:sz w:val="24"/>
          <w:szCs w:val="24"/>
        </w:rPr>
        <w:t xml:space="preserve">stakeholders </w:t>
      </w:r>
      <w:r w:rsidR="54D177B5" w:rsidRPr="00404DF7">
        <w:rPr>
          <w:sz w:val="24"/>
          <w:szCs w:val="24"/>
        </w:rPr>
        <w:t xml:space="preserve">that </w:t>
      </w:r>
      <w:r w:rsidR="00F1590F" w:rsidRPr="00404DF7">
        <w:rPr>
          <w:sz w:val="24"/>
          <w:szCs w:val="24"/>
        </w:rPr>
        <w:t xml:space="preserve">provided </w:t>
      </w:r>
      <w:r w:rsidR="54D177B5" w:rsidRPr="00404DF7">
        <w:rPr>
          <w:sz w:val="24"/>
          <w:szCs w:val="24"/>
        </w:rPr>
        <w:t>key insights into</w:t>
      </w:r>
      <w:r w:rsidR="00933D75" w:rsidRPr="00404DF7">
        <w:rPr>
          <w:sz w:val="24"/>
          <w:szCs w:val="24"/>
        </w:rPr>
        <w:t xml:space="preserve"> </w:t>
      </w:r>
      <w:r w:rsidR="000C4F31">
        <w:rPr>
          <w:sz w:val="24"/>
          <w:szCs w:val="24"/>
        </w:rPr>
        <w:t xml:space="preserve">the kinds of barriers and impediments to deployment that currently exist: </w:t>
      </w:r>
      <w:r w:rsidR="00933D75" w:rsidRPr="00404DF7">
        <w:rPr>
          <w:sz w:val="24"/>
          <w:szCs w:val="24"/>
        </w:rPr>
        <w:t>(1</w:t>
      </w:r>
      <w:r w:rsidR="000A2FAF" w:rsidRPr="00404DF7">
        <w:rPr>
          <w:sz w:val="24"/>
          <w:szCs w:val="24"/>
        </w:rPr>
        <w:t xml:space="preserve">) </w:t>
      </w:r>
      <w:r w:rsidR="003D6B76" w:rsidRPr="00404DF7">
        <w:rPr>
          <w:sz w:val="24"/>
          <w:szCs w:val="24"/>
        </w:rPr>
        <w:t>unjustified</w:t>
      </w:r>
      <w:r w:rsidR="00F1590F" w:rsidRPr="00404DF7">
        <w:rPr>
          <w:sz w:val="24"/>
          <w:szCs w:val="24"/>
        </w:rPr>
        <w:t xml:space="preserve"> </w:t>
      </w:r>
      <w:r w:rsidR="00E57073" w:rsidRPr="00404DF7">
        <w:rPr>
          <w:sz w:val="24"/>
          <w:szCs w:val="24"/>
        </w:rPr>
        <w:t>d</w:t>
      </w:r>
      <w:r w:rsidR="00F1590F" w:rsidRPr="00404DF7">
        <w:rPr>
          <w:sz w:val="24"/>
          <w:szCs w:val="24"/>
        </w:rPr>
        <w:t xml:space="preserve">eployment </w:t>
      </w:r>
      <w:r w:rsidR="00E57073" w:rsidRPr="00404DF7">
        <w:rPr>
          <w:sz w:val="24"/>
          <w:szCs w:val="24"/>
        </w:rPr>
        <w:t>moratoria;</w:t>
      </w:r>
      <w:r w:rsidR="00933D75" w:rsidRPr="00404DF7">
        <w:rPr>
          <w:sz w:val="24"/>
          <w:szCs w:val="24"/>
        </w:rPr>
        <w:t xml:space="preserve"> (2) </w:t>
      </w:r>
      <w:r w:rsidR="003D6B76" w:rsidRPr="00404DF7">
        <w:rPr>
          <w:sz w:val="24"/>
          <w:szCs w:val="24"/>
        </w:rPr>
        <w:t xml:space="preserve">unreasonable </w:t>
      </w:r>
      <w:r w:rsidR="000A2FAF" w:rsidRPr="00404DF7">
        <w:rPr>
          <w:sz w:val="24"/>
          <w:szCs w:val="24"/>
        </w:rPr>
        <w:t>d</w:t>
      </w:r>
      <w:r w:rsidR="00F1590F" w:rsidRPr="00404DF7">
        <w:rPr>
          <w:sz w:val="24"/>
          <w:szCs w:val="24"/>
        </w:rPr>
        <w:t xml:space="preserve">elays in negotiations and approvals for </w:t>
      </w:r>
      <w:r w:rsidR="000C4F31">
        <w:rPr>
          <w:sz w:val="24"/>
          <w:szCs w:val="24"/>
        </w:rPr>
        <w:t xml:space="preserve">ROW </w:t>
      </w:r>
      <w:r w:rsidR="00F1590F" w:rsidRPr="00404DF7">
        <w:rPr>
          <w:sz w:val="24"/>
          <w:szCs w:val="24"/>
        </w:rPr>
        <w:t>agreements and permitting</w:t>
      </w:r>
      <w:r w:rsidR="75E1EABD" w:rsidRPr="00404DF7">
        <w:rPr>
          <w:sz w:val="24"/>
          <w:szCs w:val="24"/>
        </w:rPr>
        <w:t xml:space="preserve"> (delays caused by both providers and </w:t>
      </w:r>
      <w:r w:rsidR="00F41DDA">
        <w:rPr>
          <w:sz w:val="24"/>
          <w:szCs w:val="24"/>
        </w:rPr>
        <w:t>localities</w:t>
      </w:r>
      <w:r w:rsidR="72CFEBEF" w:rsidRPr="00404DF7">
        <w:rPr>
          <w:sz w:val="24"/>
          <w:szCs w:val="24"/>
        </w:rPr>
        <w:t>)</w:t>
      </w:r>
      <w:r w:rsidR="005A02A8" w:rsidRPr="00404DF7">
        <w:rPr>
          <w:sz w:val="24"/>
          <w:szCs w:val="24"/>
        </w:rPr>
        <w:t xml:space="preserve">; </w:t>
      </w:r>
      <w:r w:rsidR="00933D75" w:rsidRPr="00404DF7">
        <w:rPr>
          <w:sz w:val="24"/>
          <w:szCs w:val="24"/>
        </w:rPr>
        <w:t xml:space="preserve">(3) </w:t>
      </w:r>
      <w:r w:rsidR="00F1590F" w:rsidRPr="00404DF7">
        <w:rPr>
          <w:sz w:val="24"/>
          <w:szCs w:val="24"/>
        </w:rPr>
        <w:t xml:space="preserve">fees </w:t>
      </w:r>
      <w:r w:rsidR="72CFEBEF" w:rsidRPr="00404DF7">
        <w:rPr>
          <w:sz w:val="24"/>
          <w:szCs w:val="24"/>
        </w:rPr>
        <w:t>perceived as excessive</w:t>
      </w:r>
      <w:r w:rsidR="006F5C19" w:rsidRPr="00404DF7">
        <w:rPr>
          <w:sz w:val="24"/>
          <w:szCs w:val="24"/>
        </w:rPr>
        <w:t xml:space="preserve"> </w:t>
      </w:r>
      <w:r w:rsidR="5C70DFEB" w:rsidRPr="00404DF7">
        <w:rPr>
          <w:sz w:val="24"/>
          <w:szCs w:val="24"/>
        </w:rPr>
        <w:t>or</w:t>
      </w:r>
      <w:r w:rsidR="006F5C19" w:rsidRPr="00404DF7">
        <w:rPr>
          <w:sz w:val="24"/>
          <w:szCs w:val="24"/>
        </w:rPr>
        <w:t xml:space="preserve"> duplicative</w:t>
      </w:r>
      <w:r w:rsidR="00E57073" w:rsidRPr="00404DF7">
        <w:rPr>
          <w:sz w:val="24"/>
          <w:szCs w:val="24"/>
        </w:rPr>
        <w:t>;</w:t>
      </w:r>
      <w:r w:rsidR="00933D75" w:rsidRPr="00404DF7">
        <w:rPr>
          <w:sz w:val="24"/>
          <w:szCs w:val="24"/>
        </w:rPr>
        <w:t xml:space="preserve"> (4) </w:t>
      </w:r>
      <w:r w:rsidR="00F1590F" w:rsidRPr="00404DF7">
        <w:rPr>
          <w:sz w:val="24"/>
          <w:szCs w:val="24"/>
        </w:rPr>
        <w:t xml:space="preserve">conditions or requirements </w:t>
      </w:r>
      <w:r w:rsidR="4C38D4A0" w:rsidRPr="00404DF7">
        <w:rPr>
          <w:sz w:val="24"/>
          <w:szCs w:val="24"/>
        </w:rPr>
        <w:t xml:space="preserve">perceived as unreasonable </w:t>
      </w:r>
      <w:r w:rsidR="00F1590F" w:rsidRPr="00404DF7">
        <w:rPr>
          <w:sz w:val="24"/>
          <w:szCs w:val="24"/>
        </w:rPr>
        <w:t xml:space="preserve">in the context of granting access to </w:t>
      </w:r>
      <w:r w:rsidR="000C4F31">
        <w:rPr>
          <w:sz w:val="24"/>
          <w:szCs w:val="24"/>
        </w:rPr>
        <w:t>ROW</w:t>
      </w:r>
      <w:r w:rsidR="00F1590F" w:rsidRPr="00404DF7">
        <w:rPr>
          <w:sz w:val="24"/>
          <w:szCs w:val="24"/>
        </w:rPr>
        <w:t>, permitting, construction, or licensure</w:t>
      </w:r>
      <w:r w:rsidR="00E57073" w:rsidRPr="00404DF7">
        <w:rPr>
          <w:sz w:val="24"/>
          <w:szCs w:val="24"/>
        </w:rPr>
        <w:t>;</w:t>
      </w:r>
      <w:r w:rsidR="00933D75" w:rsidRPr="00404DF7">
        <w:rPr>
          <w:sz w:val="24"/>
          <w:szCs w:val="24"/>
        </w:rPr>
        <w:t xml:space="preserve"> </w:t>
      </w:r>
      <w:r w:rsidR="005A02A8" w:rsidRPr="00404DF7">
        <w:rPr>
          <w:sz w:val="24"/>
          <w:szCs w:val="24"/>
        </w:rPr>
        <w:t xml:space="preserve">and </w:t>
      </w:r>
      <w:r w:rsidR="00933D75" w:rsidRPr="00404DF7">
        <w:rPr>
          <w:sz w:val="24"/>
          <w:szCs w:val="24"/>
        </w:rPr>
        <w:t>(5)</w:t>
      </w:r>
      <w:r w:rsidR="005A02A8" w:rsidRPr="00404DF7">
        <w:rPr>
          <w:sz w:val="24"/>
          <w:szCs w:val="24"/>
        </w:rPr>
        <w:t xml:space="preserve"> </w:t>
      </w:r>
      <w:r w:rsidR="000A2FAF" w:rsidRPr="00404DF7">
        <w:rPr>
          <w:sz w:val="24"/>
          <w:szCs w:val="24"/>
        </w:rPr>
        <w:t>b</w:t>
      </w:r>
      <w:r w:rsidR="00F1590F" w:rsidRPr="00404DF7">
        <w:rPr>
          <w:sz w:val="24"/>
          <w:szCs w:val="24"/>
        </w:rPr>
        <w:t xml:space="preserve">ad faith conduct in </w:t>
      </w:r>
      <w:r w:rsidR="00E57073" w:rsidRPr="00404DF7">
        <w:rPr>
          <w:sz w:val="24"/>
          <w:szCs w:val="24"/>
        </w:rPr>
        <w:t>negotiations</w:t>
      </w:r>
      <w:r w:rsidR="003D6B76" w:rsidRPr="00404DF7">
        <w:rPr>
          <w:sz w:val="24"/>
          <w:szCs w:val="24"/>
        </w:rPr>
        <w:t xml:space="preserve"> on both sides</w:t>
      </w:r>
      <w:r w:rsidR="00F1590F" w:rsidRPr="00404DF7">
        <w:rPr>
          <w:sz w:val="24"/>
          <w:szCs w:val="24"/>
        </w:rPr>
        <w:t xml:space="preserve">. </w:t>
      </w:r>
      <w:r w:rsidR="61FD2168" w:rsidRPr="00404DF7">
        <w:rPr>
          <w:sz w:val="24"/>
          <w:szCs w:val="24"/>
        </w:rPr>
        <w:t xml:space="preserve">While the </w:t>
      </w:r>
      <w:r w:rsidR="00F24C94" w:rsidRPr="00404DF7">
        <w:rPr>
          <w:sz w:val="24"/>
          <w:szCs w:val="24"/>
        </w:rPr>
        <w:t>W</w:t>
      </w:r>
      <w:r w:rsidR="61FD2168" w:rsidRPr="00404DF7">
        <w:rPr>
          <w:sz w:val="24"/>
          <w:szCs w:val="24"/>
        </w:rPr>
        <w:t xml:space="preserve">orking </w:t>
      </w:r>
      <w:r w:rsidR="00F24C94" w:rsidRPr="00404DF7">
        <w:rPr>
          <w:sz w:val="24"/>
          <w:szCs w:val="24"/>
        </w:rPr>
        <w:t>G</w:t>
      </w:r>
      <w:r w:rsidR="61FD2168" w:rsidRPr="00404DF7">
        <w:rPr>
          <w:sz w:val="24"/>
          <w:szCs w:val="24"/>
        </w:rPr>
        <w:t xml:space="preserve">roup reviewed </w:t>
      </w:r>
      <w:r w:rsidR="08DD01D2" w:rsidRPr="00B222AE">
        <w:rPr>
          <w:iCs/>
          <w:sz w:val="24"/>
          <w:szCs w:val="24"/>
        </w:rPr>
        <w:t>all</w:t>
      </w:r>
      <w:r w:rsidR="08DD01D2" w:rsidRPr="0069105A">
        <w:rPr>
          <w:i/>
          <w:iCs/>
          <w:sz w:val="24"/>
          <w:szCs w:val="24"/>
        </w:rPr>
        <w:t xml:space="preserve"> </w:t>
      </w:r>
      <w:r w:rsidR="4CA35CC7" w:rsidRPr="00B547C3">
        <w:rPr>
          <w:sz w:val="24"/>
          <w:szCs w:val="24"/>
        </w:rPr>
        <w:t>comments</w:t>
      </w:r>
      <w:r w:rsidR="00196D15" w:rsidRPr="009F08DA">
        <w:rPr>
          <w:sz w:val="24"/>
          <w:szCs w:val="24"/>
        </w:rPr>
        <w:t xml:space="preserve"> </w:t>
      </w:r>
      <w:r w:rsidR="08DD01D2" w:rsidRPr="009F08DA">
        <w:rPr>
          <w:sz w:val="24"/>
          <w:szCs w:val="24"/>
        </w:rPr>
        <w:t xml:space="preserve">submitted </w:t>
      </w:r>
      <w:r w:rsidR="000C4F31">
        <w:rPr>
          <w:sz w:val="24"/>
          <w:szCs w:val="24"/>
        </w:rPr>
        <w:t>in these proceedings</w:t>
      </w:r>
      <w:r w:rsidR="6ECE2436" w:rsidRPr="009F08DA">
        <w:rPr>
          <w:sz w:val="24"/>
          <w:szCs w:val="24"/>
        </w:rPr>
        <w:t xml:space="preserve">, </w:t>
      </w:r>
      <w:r w:rsidR="05D4BC72" w:rsidRPr="009F08DA">
        <w:rPr>
          <w:sz w:val="24"/>
          <w:szCs w:val="24"/>
        </w:rPr>
        <w:t>many</w:t>
      </w:r>
      <w:r w:rsidR="6ECE2436" w:rsidRPr="00B222AE">
        <w:rPr>
          <w:sz w:val="24"/>
          <w:szCs w:val="24"/>
        </w:rPr>
        <w:t xml:space="preserve"> comments </w:t>
      </w:r>
      <w:r w:rsidR="05D4BC72" w:rsidRPr="00404DF7">
        <w:rPr>
          <w:sz w:val="24"/>
          <w:szCs w:val="24"/>
        </w:rPr>
        <w:t xml:space="preserve">fell outside the scope of the </w:t>
      </w:r>
      <w:r w:rsidR="004D3138" w:rsidRPr="00404DF7">
        <w:rPr>
          <w:sz w:val="24"/>
          <w:szCs w:val="24"/>
        </w:rPr>
        <w:t>W</w:t>
      </w:r>
      <w:r w:rsidR="05D4BC72" w:rsidRPr="00404DF7">
        <w:rPr>
          <w:sz w:val="24"/>
          <w:szCs w:val="24"/>
        </w:rPr>
        <w:t xml:space="preserve">orking </w:t>
      </w:r>
      <w:r w:rsidR="004D3138" w:rsidRPr="00404DF7">
        <w:rPr>
          <w:sz w:val="24"/>
          <w:szCs w:val="24"/>
        </w:rPr>
        <w:t>G</w:t>
      </w:r>
      <w:r w:rsidR="05D4BC72" w:rsidRPr="00404DF7">
        <w:rPr>
          <w:sz w:val="24"/>
          <w:szCs w:val="24"/>
        </w:rPr>
        <w:t>roup</w:t>
      </w:r>
      <w:r w:rsidR="784A6420" w:rsidRPr="00404DF7">
        <w:rPr>
          <w:sz w:val="24"/>
          <w:szCs w:val="24"/>
        </w:rPr>
        <w:t>.</w:t>
      </w:r>
    </w:p>
    <w:p w14:paraId="1809773D" w14:textId="77777777" w:rsidR="00EA0E21" w:rsidRPr="00404DF7" w:rsidRDefault="00EA0E21" w:rsidP="004A62A6">
      <w:pPr>
        <w:spacing w:after="0" w:line="240" w:lineRule="auto"/>
        <w:rPr>
          <w:sz w:val="24"/>
          <w:szCs w:val="24"/>
        </w:rPr>
      </w:pPr>
    </w:p>
    <w:p w14:paraId="1809773F" w14:textId="5A87F502" w:rsidR="008B1F20" w:rsidRPr="00404DF7" w:rsidRDefault="00CA5385" w:rsidP="004A62A6">
      <w:pPr>
        <w:spacing w:after="0" w:line="240" w:lineRule="auto"/>
        <w:rPr>
          <w:sz w:val="24"/>
          <w:szCs w:val="24"/>
          <w:u w:val="thick"/>
        </w:rPr>
      </w:pPr>
      <w:r w:rsidRPr="00404DF7">
        <w:rPr>
          <w:sz w:val="24"/>
          <w:szCs w:val="24"/>
        </w:rPr>
        <w:t xml:space="preserve">Leveraging the information </w:t>
      </w:r>
      <w:r w:rsidR="28C0D477" w:rsidRPr="00404DF7">
        <w:rPr>
          <w:sz w:val="24"/>
          <w:szCs w:val="24"/>
        </w:rPr>
        <w:t xml:space="preserve">included </w:t>
      </w:r>
      <w:r w:rsidR="3FDA3D0C" w:rsidRPr="00404DF7">
        <w:rPr>
          <w:sz w:val="24"/>
          <w:szCs w:val="24"/>
        </w:rPr>
        <w:t xml:space="preserve">in </w:t>
      </w:r>
      <w:r w:rsidR="28C0D477" w:rsidRPr="00404DF7">
        <w:rPr>
          <w:sz w:val="24"/>
          <w:szCs w:val="24"/>
        </w:rPr>
        <w:t>the</w:t>
      </w:r>
      <w:r w:rsidR="3FDA3D0C" w:rsidRPr="00404DF7">
        <w:rPr>
          <w:sz w:val="24"/>
          <w:szCs w:val="24"/>
        </w:rPr>
        <w:t>s</w:t>
      </w:r>
      <w:r w:rsidRPr="00404DF7">
        <w:rPr>
          <w:sz w:val="24"/>
          <w:szCs w:val="24"/>
        </w:rPr>
        <w:t xml:space="preserve">e comments, </w:t>
      </w:r>
      <w:r w:rsidR="00D7594A">
        <w:rPr>
          <w:sz w:val="24"/>
          <w:szCs w:val="24"/>
        </w:rPr>
        <w:t xml:space="preserve">along with the expertise </w:t>
      </w:r>
      <w:r w:rsidR="00376E4F">
        <w:rPr>
          <w:sz w:val="24"/>
          <w:szCs w:val="24"/>
        </w:rPr>
        <w:t xml:space="preserve">and experiences </w:t>
      </w:r>
      <w:r w:rsidR="00D7594A">
        <w:rPr>
          <w:sz w:val="24"/>
          <w:szCs w:val="24"/>
        </w:rPr>
        <w:t>of its members</w:t>
      </w:r>
      <w:r w:rsidRPr="00404DF7">
        <w:rPr>
          <w:sz w:val="24"/>
          <w:szCs w:val="24"/>
        </w:rPr>
        <w:t>, t</w:t>
      </w:r>
      <w:r w:rsidR="00EA0E21" w:rsidRPr="00404DF7">
        <w:rPr>
          <w:sz w:val="24"/>
          <w:szCs w:val="24"/>
        </w:rPr>
        <w:t xml:space="preserve">he </w:t>
      </w:r>
      <w:r w:rsidRPr="00404DF7">
        <w:rPr>
          <w:sz w:val="24"/>
          <w:szCs w:val="24"/>
        </w:rPr>
        <w:t>W</w:t>
      </w:r>
      <w:r w:rsidR="00EA0E21" w:rsidRPr="00404DF7">
        <w:rPr>
          <w:sz w:val="24"/>
          <w:szCs w:val="24"/>
        </w:rPr>
        <w:t xml:space="preserve">orking </w:t>
      </w:r>
      <w:r w:rsidRPr="00404DF7">
        <w:rPr>
          <w:sz w:val="24"/>
          <w:szCs w:val="24"/>
        </w:rPr>
        <w:t>G</w:t>
      </w:r>
      <w:r w:rsidR="00EA0E21" w:rsidRPr="00404DF7">
        <w:rPr>
          <w:sz w:val="24"/>
          <w:szCs w:val="24"/>
        </w:rPr>
        <w:t xml:space="preserve">roup </w:t>
      </w:r>
      <w:r w:rsidRPr="00404DF7">
        <w:rPr>
          <w:sz w:val="24"/>
          <w:szCs w:val="24"/>
        </w:rPr>
        <w:t>identif</w:t>
      </w:r>
      <w:r w:rsidR="00F636F1" w:rsidRPr="00404DF7">
        <w:rPr>
          <w:sz w:val="24"/>
          <w:szCs w:val="24"/>
        </w:rPr>
        <w:t>ied</w:t>
      </w:r>
      <w:r w:rsidRPr="00404DF7">
        <w:rPr>
          <w:sz w:val="24"/>
          <w:szCs w:val="24"/>
        </w:rPr>
        <w:t xml:space="preserve"> patterns of </w:t>
      </w:r>
      <w:r w:rsidR="002C61A3">
        <w:rPr>
          <w:sz w:val="24"/>
          <w:szCs w:val="24"/>
        </w:rPr>
        <w:t xml:space="preserve">behavior </w:t>
      </w:r>
      <w:r w:rsidRPr="00404DF7">
        <w:rPr>
          <w:sz w:val="24"/>
          <w:szCs w:val="24"/>
        </w:rPr>
        <w:t xml:space="preserve">that </w:t>
      </w:r>
      <w:r w:rsidR="002C61A3">
        <w:rPr>
          <w:sz w:val="24"/>
          <w:szCs w:val="24"/>
        </w:rPr>
        <w:t xml:space="preserve">act as barriers to timely </w:t>
      </w:r>
      <w:r w:rsidR="009B17D2" w:rsidRPr="00404DF7">
        <w:rPr>
          <w:sz w:val="24"/>
          <w:szCs w:val="24"/>
        </w:rPr>
        <w:t xml:space="preserve">broadband </w:t>
      </w:r>
      <w:r w:rsidRPr="00404DF7">
        <w:rPr>
          <w:sz w:val="24"/>
          <w:szCs w:val="24"/>
        </w:rPr>
        <w:t>deployment.</w:t>
      </w:r>
    </w:p>
    <w:p w14:paraId="6689A573" w14:textId="77777777" w:rsidR="007D56F3" w:rsidRDefault="007D56F3">
      <w:pPr>
        <w:rPr>
          <w:sz w:val="24"/>
          <w:szCs w:val="24"/>
          <w:u w:val="thick"/>
        </w:rPr>
      </w:pPr>
      <w:r>
        <w:rPr>
          <w:sz w:val="24"/>
          <w:szCs w:val="24"/>
          <w:u w:val="thick"/>
        </w:rPr>
        <w:br w:type="page"/>
      </w:r>
    </w:p>
    <w:p w14:paraId="18097757" w14:textId="77777777" w:rsidR="00E52075" w:rsidRDefault="00636F99" w:rsidP="004A62A6">
      <w:pPr>
        <w:spacing w:after="0" w:line="240" w:lineRule="auto"/>
        <w:rPr>
          <w:b/>
          <w:bCs/>
          <w:sz w:val="24"/>
          <w:szCs w:val="24"/>
        </w:rPr>
      </w:pPr>
      <w:r w:rsidRPr="00404DF7">
        <w:rPr>
          <w:b/>
          <w:bCs/>
          <w:sz w:val="24"/>
          <w:szCs w:val="24"/>
        </w:rPr>
        <w:lastRenderedPageBreak/>
        <w:t>PRINCIPAL FINDINGS</w:t>
      </w:r>
    </w:p>
    <w:p w14:paraId="211B8212" w14:textId="77777777" w:rsidR="00EB0CCD" w:rsidRPr="00404DF7" w:rsidRDefault="00EB0CCD" w:rsidP="004A62A6">
      <w:pPr>
        <w:spacing w:after="0" w:line="240" w:lineRule="auto"/>
        <w:rPr>
          <w:b/>
          <w:bCs/>
          <w:sz w:val="24"/>
          <w:szCs w:val="24"/>
        </w:rPr>
      </w:pPr>
    </w:p>
    <w:p w14:paraId="18097759" w14:textId="75B62D68" w:rsidR="005D233E" w:rsidRPr="0069105A" w:rsidRDefault="00935080" w:rsidP="004A62A6">
      <w:pPr>
        <w:spacing w:after="0" w:line="240" w:lineRule="auto"/>
        <w:rPr>
          <w:rFonts w:cs="Times New Roman"/>
          <w:sz w:val="24"/>
          <w:szCs w:val="24"/>
        </w:rPr>
      </w:pPr>
      <w:r w:rsidRPr="00B222AE">
        <w:rPr>
          <w:sz w:val="24"/>
          <w:szCs w:val="24"/>
        </w:rPr>
        <w:t xml:space="preserve">While </w:t>
      </w:r>
      <w:r w:rsidR="00BA2519" w:rsidRPr="00B222AE">
        <w:rPr>
          <w:sz w:val="24"/>
          <w:szCs w:val="24"/>
        </w:rPr>
        <w:t>state/local governments</w:t>
      </w:r>
      <w:r w:rsidR="00633BA8" w:rsidRPr="00B222AE">
        <w:rPr>
          <w:sz w:val="24"/>
          <w:szCs w:val="24"/>
        </w:rPr>
        <w:t xml:space="preserve"> and </w:t>
      </w:r>
      <w:r w:rsidR="00711D7F" w:rsidRPr="00B222AE">
        <w:rPr>
          <w:sz w:val="24"/>
          <w:szCs w:val="24"/>
        </w:rPr>
        <w:t xml:space="preserve">broadband providers </w:t>
      </w:r>
      <w:r w:rsidR="00633BA8" w:rsidRPr="00B222AE">
        <w:rPr>
          <w:sz w:val="24"/>
          <w:szCs w:val="24"/>
        </w:rPr>
        <w:t>share the same goal</w:t>
      </w:r>
      <w:r w:rsidR="000019B3" w:rsidRPr="00B222AE">
        <w:rPr>
          <w:sz w:val="24"/>
          <w:szCs w:val="24"/>
        </w:rPr>
        <w:t xml:space="preserve"> of </w:t>
      </w:r>
      <w:r w:rsidR="00633BA8" w:rsidRPr="00B222AE">
        <w:rPr>
          <w:sz w:val="24"/>
          <w:szCs w:val="24"/>
        </w:rPr>
        <w:t xml:space="preserve">providing broadband service to as many communities </w:t>
      </w:r>
      <w:r w:rsidR="001C17F0" w:rsidRPr="00B222AE">
        <w:rPr>
          <w:sz w:val="24"/>
          <w:szCs w:val="24"/>
        </w:rPr>
        <w:t xml:space="preserve">and end users </w:t>
      </w:r>
      <w:r w:rsidR="00633BA8" w:rsidRPr="00B222AE">
        <w:rPr>
          <w:sz w:val="24"/>
          <w:szCs w:val="24"/>
        </w:rPr>
        <w:t>as possible</w:t>
      </w:r>
      <w:r w:rsidR="000019B3" w:rsidRPr="00B222AE">
        <w:rPr>
          <w:sz w:val="24"/>
          <w:szCs w:val="24"/>
        </w:rPr>
        <w:t>,</w:t>
      </w:r>
      <w:r w:rsidR="0069105A" w:rsidRPr="0069105A">
        <w:rPr>
          <w:rFonts w:cs="Times New Roman"/>
          <w:sz w:val="24"/>
          <w:szCs w:val="24"/>
        </w:rPr>
        <w:t xml:space="preserve"> </w:t>
      </w:r>
      <w:r w:rsidR="0069105A" w:rsidRPr="00280BD2">
        <w:rPr>
          <w:rFonts w:cs="Times New Roman"/>
          <w:sz w:val="24"/>
          <w:szCs w:val="24"/>
        </w:rPr>
        <w:t xml:space="preserve">they also have interests that may conflict with each other. </w:t>
      </w:r>
      <w:r w:rsidR="0069105A" w:rsidRPr="00280BD2">
        <w:rPr>
          <w:sz w:val="24"/>
          <w:szCs w:val="24"/>
        </w:rPr>
        <w:t xml:space="preserve">Many of the delays in deploying broadband exist as a result of the friction between </w:t>
      </w:r>
      <w:r w:rsidR="00112C79">
        <w:rPr>
          <w:sz w:val="24"/>
          <w:szCs w:val="24"/>
        </w:rPr>
        <w:t>localities</w:t>
      </w:r>
      <w:r w:rsidR="0069105A" w:rsidRPr="00280BD2">
        <w:rPr>
          <w:sz w:val="24"/>
          <w:szCs w:val="24"/>
        </w:rPr>
        <w:t xml:space="preserve"> and </w:t>
      </w:r>
      <w:r w:rsidR="0069105A">
        <w:rPr>
          <w:sz w:val="24"/>
          <w:szCs w:val="24"/>
        </w:rPr>
        <w:t>broadband</w:t>
      </w:r>
      <w:r w:rsidR="0069105A" w:rsidRPr="00280BD2">
        <w:rPr>
          <w:sz w:val="24"/>
          <w:szCs w:val="24"/>
        </w:rPr>
        <w:t xml:space="preserve"> providers having competing economic interests. </w:t>
      </w:r>
      <w:r w:rsidR="00F41DDA">
        <w:rPr>
          <w:sz w:val="24"/>
          <w:szCs w:val="24"/>
        </w:rPr>
        <w:t>Localities</w:t>
      </w:r>
      <w:r w:rsidR="00B642F1" w:rsidRPr="0069105A">
        <w:rPr>
          <w:sz w:val="24"/>
          <w:szCs w:val="24"/>
        </w:rPr>
        <w:t xml:space="preserve"> have an obligation to properly maintain and update public infrastructure</w:t>
      </w:r>
      <w:r w:rsidR="00E157AB" w:rsidRPr="0069105A">
        <w:rPr>
          <w:sz w:val="24"/>
          <w:szCs w:val="24"/>
        </w:rPr>
        <w:t xml:space="preserve"> as well </w:t>
      </w:r>
      <w:r w:rsidR="004F6D2D">
        <w:rPr>
          <w:sz w:val="24"/>
          <w:szCs w:val="24"/>
        </w:rPr>
        <w:t xml:space="preserve">as </w:t>
      </w:r>
      <w:r w:rsidR="00D53CE9" w:rsidRPr="0069105A">
        <w:rPr>
          <w:sz w:val="24"/>
          <w:szCs w:val="24"/>
        </w:rPr>
        <w:t>manag</w:t>
      </w:r>
      <w:r w:rsidR="004F6D2D">
        <w:rPr>
          <w:sz w:val="24"/>
          <w:szCs w:val="24"/>
        </w:rPr>
        <w:t>ing</w:t>
      </w:r>
      <w:r w:rsidR="00D53CE9" w:rsidRPr="0069105A">
        <w:rPr>
          <w:sz w:val="24"/>
          <w:szCs w:val="24"/>
        </w:rPr>
        <w:t xml:space="preserve"> the public ROW to balance the needs of competing services such as water, electricity, and sewers with telecommunications.  Therefore, </w:t>
      </w:r>
      <w:r w:rsidR="00B642F1" w:rsidRPr="00B547C3">
        <w:rPr>
          <w:sz w:val="24"/>
          <w:szCs w:val="24"/>
        </w:rPr>
        <w:t>they need to raise the funds in order to do so</w:t>
      </w:r>
      <w:r w:rsidR="009C732E" w:rsidRPr="009F08DA">
        <w:rPr>
          <w:sz w:val="24"/>
          <w:szCs w:val="24"/>
        </w:rPr>
        <w:t>—either from taxpayers or from the companies that use the ROW</w:t>
      </w:r>
      <w:r w:rsidR="00B642F1" w:rsidRPr="00404DF7">
        <w:rPr>
          <w:sz w:val="24"/>
          <w:szCs w:val="24"/>
        </w:rPr>
        <w:t xml:space="preserve">. </w:t>
      </w:r>
      <w:r w:rsidR="00391653" w:rsidRPr="00404DF7">
        <w:rPr>
          <w:sz w:val="24"/>
          <w:szCs w:val="24"/>
        </w:rPr>
        <w:t>At the same time</w:t>
      </w:r>
      <w:r w:rsidR="00B30F1C" w:rsidRPr="00404DF7">
        <w:rPr>
          <w:sz w:val="24"/>
          <w:szCs w:val="24"/>
        </w:rPr>
        <w:t>, b</w:t>
      </w:r>
      <w:r w:rsidR="0057047F" w:rsidRPr="00404DF7">
        <w:rPr>
          <w:sz w:val="24"/>
          <w:szCs w:val="24"/>
        </w:rPr>
        <w:t>roadband providers</w:t>
      </w:r>
      <w:r w:rsidR="00B642F1" w:rsidRPr="00404DF7">
        <w:rPr>
          <w:sz w:val="24"/>
          <w:szCs w:val="24"/>
        </w:rPr>
        <w:t xml:space="preserve"> want to quickly deploy technology </w:t>
      </w:r>
      <w:r w:rsidR="1EE77B61" w:rsidRPr="00404DF7">
        <w:rPr>
          <w:sz w:val="24"/>
          <w:szCs w:val="24"/>
        </w:rPr>
        <w:t xml:space="preserve">via </w:t>
      </w:r>
      <w:r w:rsidR="00B642F1" w:rsidRPr="00404DF7">
        <w:rPr>
          <w:sz w:val="24"/>
          <w:szCs w:val="24"/>
        </w:rPr>
        <w:t xml:space="preserve">public </w:t>
      </w:r>
      <w:r w:rsidR="1EE77B61" w:rsidRPr="00404DF7">
        <w:rPr>
          <w:sz w:val="24"/>
          <w:szCs w:val="24"/>
        </w:rPr>
        <w:t xml:space="preserve">ROW </w:t>
      </w:r>
      <w:r w:rsidR="00B642F1" w:rsidRPr="00404DF7">
        <w:rPr>
          <w:sz w:val="24"/>
          <w:szCs w:val="24"/>
        </w:rPr>
        <w:t xml:space="preserve">at the lowest cost possible, on the quickest timeline, with little regulatory </w:t>
      </w:r>
      <w:r w:rsidR="00E157AB" w:rsidRPr="00404DF7">
        <w:rPr>
          <w:sz w:val="24"/>
          <w:szCs w:val="24"/>
        </w:rPr>
        <w:t>burden</w:t>
      </w:r>
      <w:r w:rsidR="00DC41C8" w:rsidRPr="00404DF7">
        <w:rPr>
          <w:sz w:val="24"/>
          <w:szCs w:val="24"/>
        </w:rPr>
        <w:t>. Many l</w:t>
      </w:r>
      <w:r w:rsidR="00B642F1" w:rsidRPr="00404DF7">
        <w:rPr>
          <w:sz w:val="24"/>
          <w:szCs w:val="24"/>
        </w:rPr>
        <w:t xml:space="preserve">ocal governments </w:t>
      </w:r>
      <w:r w:rsidR="00DC41C8" w:rsidRPr="00404DF7">
        <w:rPr>
          <w:sz w:val="24"/>
          <w:szCs w:val="24"/>
        </w:rPr>
        <w:t xml:space="preserve">also </w:t>
      </w:r>
      <w:r w:rsidRPr="00404DF7">
        <w:rPr>
          <w:sz w:val="24"/>
          <w:szCs w:val="24"/>
        </w:rPr>
        <w:t>seek</w:t>
      </w:r>
      <w:r w:rsidR="00B642F1" w:rsidRPr="00404DF7">
        <w:rPr>
          <w:sz w:val="24"/>
          <w:szCs w:val="24"/>
        </w:rPr>
        <w:t xml:space="preserve"> to charge</w:t>
      </w:r>
      <w:r w:rsidR="003F4927" w:rsidRPr="00404DF7">
        <w:rPr>
          <w:sz w:val="24"/>
          <w:szCs w:val="24"/>
        </w:rPr>
        <w:t xml:space="preserve"> what they consider to be </w:t>
      </w:r>
      <w:r w:rsidR="00340A78" w:rsidRPr="00404DF7">
        <w:rPr>
          <w:sz w:val="24"/>
          <w:szCs w:val="24"/>
        </w:rPr>
        <w:t>“</w:t>
      </w:r>
      <w:r w:rsidR="00B642F1" w:rsidRPr="00404DF7">
        <w:rPr>
          <w:sz w:val="24"/>
          <w:szCs w:val="24"/>
        </w:rPr>
        <w:t>fair market rates</w:t>
      </w:r>
      <w:r w:rsidR="00340A78" w:rsidRPr="00404DF7">
        <w:rPr>
          <w:sz w:val="24"/>
          <w:szCs w:val="24"/>
        </w:rPr>
        <w:t>”</w:t>
      </w:r>
      <w:r w:rsidR="00B642F1" w:rsidRPr="00404DF7">
        <w:rPr>
          <w:sz w:val="24"/>
          <w:szCs w:val="24"/>
        </w:rPr>
        <w:t xml:space="preserve"> for public infrastructure</w:t>
      </w:r>
      <w:r w:rsidR="1AC47027" w:rsidRPr="00404DF7">
        <w:rPr>
          <w:sz w:val="24"/>
          <w:szCs w:val="24"/>
        </w:rPr>
        <w:t>,</w:t>
      </w:r>
      <w:r w:rsidR="00B642F1" w:rsidRPr="00404DF7">
        <w:rPr>
          <w:sz w:val="24"/>
          <w:szCs w:val="24"/>
        </w:rPr>
        <w:t xml:space="preserve"> while industry often seeks “at cost” </w:t>
      </w:r>
      <w:r w:rsidR="0010479B" w:rsidRPr="00404DF7">
        <w:rPr>
          <w:sz w:val="24"/>
          <w:szCs w:val="24"/>
        </w:rPr>
        <w:t>or otherwise predictable, stan</w:t>
      </w:r>
      <w:r w:rsidR="0010479B" w:rsidRPr="0069105A">
        <w:rPr>
          <w:sz w:val="24"/>
          <w:szCs w:val="24"/>
        </w:rPr>
        <w:t xml:space="preserve">dardized </w:t>
      </w:r>
      <w:r w:rsidR="00B642F1" w:rsidRPr="0069105A">
        <w:rPr>
          <w:sz w:val="24"/>
          <w:szCs w:val="24"/>
        </w:rPr>
        <w:t>pricing.</w:t>
      </w:r>
      <w:r w:rsidRPr="0069105A">
        <w:rPr>
          <w:sz w:val="24"/>
          <w:szCs w:val="24"/>
        </w:rPr>
        <w:t xml:space="preserve"> </w:t>
      </w:r>
      <w:r w:rsidR="00B642F1" w:rsidRPr="0069105A">
        <w:rPr>
          <w:sz w:val="24"/>
          <w:szCs w:val="24"/>
        </w:rPr>
        <w:t>These competing interests create natural conflict</w:t>
      </w:r>
      <w:r w:rsidR="00B642F1" w:rsidRPr="0069105A">
        <w:rPr>
          <w:rFonts w:cs="Times New Roman"/>
          <w:sz w:val="24"/>
          <w:szCs w:val="24"/>
        </w:rPr>
        <w:t xml:space="preserve">. </w:t>
      </w:r>
    </w:p>
    <w:p w14:paraId="1809775A" w14:textId="68F8F367" w:rsidR="005D233E" w:rsidRPr="009F08DA" w:rsidRDefault="005D233E" w:rsidP="004A62A6">
      <w:pPr>
        <w:spacing w:after="0" w:line="240" w:lineRule="auto"/>
        <w:rPr>
          <w:rFonts w:cs="Times New Roman"/>
          <w:sz w:val="24"/>
          <w:szCs w:val="24"/>
        </w:rPr>
      </w:pPr>
    </w:p>
    <w:p w14:paraId="1809775B" w14:textId="528D0809" w:rsidR="004430DF" w:rsidRPr="00B222AE" w:rsidRDefault="00EB0CCD" w:rsidP="004A62A6">
      <w:pPr>
        <w:spacing w:after="0" w:line="240" w:lineRule="auto"/>
        <w:rPr>
          <w:sz w:val="24"/>
          <w:szCs w:val="24"/>
        </w:rPr>
      </w:pPr>
      <w:r>
        <w:rPr>
          <w:sz w:val="24"/>
          <w:szCs w:val="24"/>
        </w:rPr>
        <w:t>T</w:t>
      </w:r>
      <w:r w:rsidR="044CA2D1" w:rsidRPr="00B222AE">
        <w:rPr>
          <w:sz w:val="24"/>
          <w:szCs w:val="24"/>
        </w:rPr>
        <w:t>he Working Gro</w:t>
      </w:r>
      <w:r w:rsidR="5F05A1BC" w:rsidRPr="00B222AE">
        <w:rPr>
          <w:sz w:val="24"/>
          <w:szCs w:val="24"/>
        </w:rPr>
        <w:t xml:space="preserve">up has </w:t>
      </w:r>
      <w:r w:rsidR="007522AB" w:rsidRPr="00B222AE">
        <w:rPr>
          <w:sz w:val="24"/>
          <w:szCs w:val="24"/>
        </w:rPr>
        <w:t>identified the following patterns</w:t>
      </w:r>
      <w:r w:rsidR="5F05A1BC" w:rsidRPr="00B222AE">
        <w:rPr>
          <w:sz w:val="24"/>
          <w:szCs w:val="24"/>
        </w:rPr>
        <w:t xml:space="preserve"> </w:t>
      </w:r>
      <w:r w:rsidR="00E157AB" w:rsidRPr="0069105A">
        <w:rPr>
          <w:rFonts w:cs="Times New Roman"/>
          <w:sz w:val="24"/>
          <w:szCs w:val="24"/>
        </w:rPr>
        <w:t xml:space="preserve">that can act as barriers to deploying </w:t>
      </w:r>
      <w:r w:rsidR="004A62A6" w:rsidRPr="0069105A">
        <w:rPr>
          <w:rFonts w:cs="Times New Roman"/>
          <w:sz w:val="24"/>
          <w:szCs w:val="24"/>
        </w:rPr>
        <w:t>broadband</w:t>
      </w:r>
      <w:r>
        <w:rPr>
          <w:rFonts w:cs="Times New Roman"/>
          <w:sz w:val="24"/>
          <w:szCs w:val="24"/>
        </w:rPr>
        <w:t>.</w:t>
      </w:r>
    </w:p>
    <w:p w14:paraId="1809775C" w14:textId="77777777" w:rsidR="00F509EE" w:rsidRPr="0069105A" w:rsidRDefault="00F509EE" w:rsidP="004A62A6">
      <w:pPr>
        <w:spacing w:after="0" w:line="240" w:lineRule="auto"/>
        <w:rPr>
          <w:rFonts w:cs="Times New Roman"/>
          <w:sz w:val="24"/>
          <w:szCs w:val="24"/>
        </w:rPr>
      </w:pPr>
    </w:p>
    <w:p w14:paraId="7DF97E4B" w14:textId="536C130C" w:rsidR="007D4801" w:rsidRDefault="00C9607F" w:rsidP="00506E26">
      <w:pPr>
        <w:pStyle w:val="ListParagraph"/>
        <w:numPr>
          <w:ilvl w:val="0"/>
          <w:numId w:val="17"/>
        </w:numPr>
        <w:spacing w:after="0" w:line="240" w:lineRule="auto"/>
        <w:rPr>
          <w:sz w:val="24"/>
          <w:szCs w:val="24"/>
        </w:rPr>
      </w:pPr>
      <w:r w:rsidRPr="0069105A">
        <w:rPr>
          <w:i/>
          <w:iCs/>
          <w:sz w:val="24"/>
          <w:szCs w:val="24"/>
          <w:u w:val="single"/>
        </w:rPr>
        <w:t>Ambiguity</w:t>
      </w:r>
      <w:r w:rsidRPr="0069105A">
        <w:rPr>
          <w:sz w:val="24"/>
          <w:szCs w:val="24"/>
        </w:rPr>
        <w:t>: This barrier occurs when applications</w:t>
      </w:r>
      <w:r w:rsidR="00B412DA" w:rsidRPr="0069105A">
        <w:rPr>
          <w:sz w:val="24"/>
          <w:szCs w:val="24"/>
        </w:rPr>
        <w:t>,</w:t>
      </w:r>
      <w:r w:rsidRPr="0069105A">
        <w:rPr>
          <w:sz w:val="24"/>
          <w:szCs w:val="24"/>
        </w:rPr>
        <w:t xml:space="preserve"> procedures</w:t>
      </w:r>
      <w:r w:rsidR="00B412DA" w:rsidRPr="0069105A">
        <w:rPr>
          <w:sz w:val="24"/>
          <w:szCs w:val="24"/>
        </w:rPr>
        <w:t>,</w:t>
      </w:r>
      <w:r w:rsidRPr="0069105A">
        <w:rPr>
          <w:sz w:val="24"/>
          <w:szCs w:val="24"/>
        </w:rPr>
        <w:t xml:space="preserve"> and decision/approval timelines are </w:t>
      </w:r>
      <w:r w:rsidRPr="009F08DA">
        <w:rPr>
          <w:sz w:val="24"/>
          <w:szCs w:val="24"/>
        </w:rPr>
        <w:t>absent, arbitrary, unclear, unreasonable, or inflexible</w:t>
      </w:r>
      <w:r w:rsidR="00DC41C8" w:rsidRPr="009F08DA">
        <w:rPr>
          <w:sz w:val="24"/>
          <w:szCs w:val="24"/>
        </w:rPr>
        <w:t xml:space="preserve">, </w:t>
      </w:r>
      <w:r w:rsidRPr="009F08DA">
        <w:rPr>
          <w:sz w:val="24"/>
          <w:szCs w:val="24"/>
        </w:rPr>
        <w:t>which often manifests as deployment moratoria</w:t>
      </w:r>
      <w:r w:rsidR="000C1595">
        <w:rPr>
          <w:sz w:val="24"/>
          <w:szCs w:val="24"/>
        </w:rPr>
        <w:t>.</w:t>
      </w:r>
      <w:r w:rsidR="007522AB" w:rsidRPr="00404DF7">
        <w:rPr>
          <w:sz w:val="24"/>
          <w:szCs w:val="24"/>
        </w:rPr>
        <w:t xml:space="preserve"> </w:t>
      </w:r>
    </w:p>
    <w:p w14:paraId="2D413A45" w14:textId="77777777" w:rsidR="00506E26" w:rsidRPr="00506E26" w:rsidRDefault="00506E26" w:rsidP="00506E26">
      <w:pPr>
        <w:pStyle w:val="ListParagraph"/>
        <w:spacing w:after="0" w:line="240" w:lineRule="auto"/>
        <w:rPr>
          <w:sz w:val="24"/>
          <w:szCs w:val="24"/>
        </w:rPr>
      </w:pPr>
    </w:p>
    <w:p w14:paraId="72249306" w14:textId="77777777" w:rsidR="00EB0CCD" w:rsidRDefault="00C9607F" w:rsidP="00506E26">
      <w:pPr>
        <w:pStyle w:val="ListParagraph"/>
        <w:numPr>
          <w:ilvl w:val="0"/>
          <w:numId w:val="17"/>
        </w:numPr>
        <w:spacing w:after="0" w:line="240" w:lineRule="auto"/>
        <w:rPr>
          <w:sz w:val="24"/>
          <w:szCs w:val="24"/>
        </w:rPr>
      </w:pPr>
      <w:r w:rsidRPr="00404DF7">
        <w:rPr>
          <w:i/>
          <w:iCs/>
          <w:sz w:val="24"/>
          <w:szCs w:val="24"/>
          <w:u w:val="single"/>
        </w:rPr>
        <w:t>Discrimination</w:t>
      </w:r>
      <w:r w:rsidRPr="00404DF7">
        <w:rPr>
          <w:sz w:val="24"/>
          <w:szCs w:val="24"/>
          <w:u w:val="single"/>
        </w:rPr>
        <w:t>:</w:t>
      </w:r>
      <w:r w:rsidRPr="00404DF7">
        <w:rPr>
          <w:sz w:val="24"/>
          <w:szCs w:val="24"/>
        </w:rPr>
        <w:t xml:space="preserve"> </w:t>
      </w:r>
      <w:r w:rsidRPr="002332DC">
        <w:rPr>
          <w:sz w:val="24"/>
          <w:szCs w:val="24"/>
        </w:rPr>
        <w:t>This barrier occurs when state</w:t>
      </w:r>
      <w:r w:rsidR="001A2261" w:rsidRPr="002332DC">
        <w:rPr>
          <w:sz w:val="24"/>
          <w:szCs w:val="24"/>
        </w:rPr>
        <w:t xml:space="preserve"> or</w:t>
      </w:r>
      <w:r w:rsidRPr="002332DC">
        <w:rPr>
          <w:sz w:val="24"/>
          <w:szCs w:val="24"/>
        </w:rPr>
        <w:t xml:space="preserve"> </w:t>
      </w:r>
      <w:r w:rsidR="00112C79">
        <w:rPr>
          <w:sz w:val="24"/>
          <w:szCs w:val="24"/>
        </w:rPr>
        <w:t>local</w:t>
      </w:r>
      <w:r w:rsidRPr="002332DC">
        <w:rPr>
          <w:sz w:val="24"/>
          <w:szCs w:val="24"/>
        </w:rPr>
        <w:t xml:space="preserve"> authorities levy fees or </w:t>
      </w:r>
      <w:r w:rsidR="7D1B4AB6" w:rsidRPr="002332DC">
        <w:rPr>
          <w:sz w:val="24"/>
          <w:szCs w:val="24"/>
        </w:rPr>
        <w:t xml:space="preserve">impose </w:t>
      </w:r>
      <w:r w:rsidRPr="002332DC">
        <w:rPr>
          <w:sz w:val="24"/>
          <w:szCs w:val="24"/>
        </w:rPr>
        <w:t xml:space="preserve">obligations on broadband providers with </w:t>
      </w:r>
      <w:r w:rsidR="00E157AB" w:rsidRPr="002332DC">
        <w:rPr>
          <w:sz w:val="24"/>
          <w:szCs w:val="24"/>
        </w:rPr>
        <w:t xml:space="preserve">insufficient </w:t>
      </w:r>
      <w:r w:rsidRPr="002332DC">
        <w:rPr>
          <w:sz w:val="24"/>
          <w:szCs w:val="24"/>
        </w:rPr>
        <w:t>transparency, which can result in discrimination among different network providers</w:t>
      </w:r>
      <w:r w:rsidR="00EB0CCD">
        <w:rPr>
          <w:sz w:val="24"/>
          <w:szCs w:val="24"/>
        </w:rPr>
        <w:t>.</w:t>
      </w:r>
      <w:r w:rsidR="00EB0CCD" w:rsidRPr="00506E26">
        <w:rPr>
          <w:sz w:val="24"/>
          <w:szCs w:val="24"/>
        </w:rPr>
        <w:t xml:space="preserve"> </w:t>
      </w:r>
    </w:p>
    <w:p w14:paraId="4B315E48" w14:textId="77777777" w:rsidR="00EB0CCD" w:rsidRPr="00EB0CCD" w:rsidRDefault="00EB0CCD" w:rsidP="00EB0CCD">
      <w:pPr>
        <w:pStyle w:val="ListParagraph"/>
        <w:rPr>
          <w:i/>
          <w:iCs/>
          <w:sz w:val="24"/>
          <w:szCs w:val="24"/>
          <w:u w:val="single"/>
        </w:rPr>
      </w:pPr>
    </w:p>
    <w:p w14:paraId="18AD6E1B" w14:textId="1394EB63" w:rsidR="007D4801" w:rsidRDefault="00C9607F" w:rsidP="00506E26">
      <w:pPr>
        <w:pStyle w:val="ListParagraph"/>
        <w:numPr>
          <w:ilvl w:val="0"/>
          <w:numId w:val="17"/>
        </w:numPr>
        <w:spacing w:after="0" w:line="240" w:lineRule="auto"/>
        <w:rPr>
          <w:sz w:val="24"/>
          <w:szCs w:val="24"/>
        </w:rPr>
      </w:pPr>
      <w:r w:rsidRPr="00EB0CCD">
        <w:rPr>
          <w:i/>
          <w:iCs/>
          <w:sz w:val="24"/>
          <w:szCs w:val="24"/>
          <w:u w:val="single"/>
        </w:rPr>
        <w:t>Excessive Fees</w:t>
      </w:r>
      <w:r w:rsidRPr="00EB0CCD">
        <w:rPr>
          <w:sz w:val="24"/>
          <w:szCs w:val="24"/>
          <w:u w:val="single"/>
        </w:rPr>
        <w:t>:</w:t>
      </w:r>
      <w:r w:rsidRPr="00EB0CCD">
        <w:rPr>
          <w:sz w:val="24"/>
          <w:szCs w:val="24"/>
        </w:rPr>
        <w:t xml:space="preserve"> </w:t>
      </w:r>
      <w:r w:rsidR="00404DF7" w:rsidRPr="00EB0CCD">
        <w:rPr>
          <w:sz w:val="24"/>
          <w:szCs w:val="24"/>
        </w:rPr>
        <w:t xml:space="preserve">This barrier occurs when fees for access to ROW and </w:t>
      </w:r>
      <w:r w:rsidR="00112C79" w:rsidRPr="00EB0CCD">
        <w:rPr>
          <w:sz w:val="24"/>
          <w:szCs w:val="24"/>
        </w:rPr>
        <w:t>local</w:t>
      </w:r>
      <w:r w:rsidR="00404DF7" w:rsidRPr="00EB0CCD">
        <w:rPr>
          <w:sz w:val="24"/>
          <w:szCs w:val="24"/>
        </w:rPr>
        <w:t xml:space="preserve"> assets are viewed as unreasonably high relative to the incremental burden on the ROW</w:t>
      </w:r>
      <w:r w:rsidR="00EB0CCD">
        <w:rPr>
          <w:sz w:val="24"/>
          <w:szCs w:val="24"/>
        </w:rPr>
        <w:t xml:space="preserve">, </w:t>
      </w:r>
      <w:r w:rsidR="00404DF7" w:rsidRPr="00EB0CCD">
        <w:rPr>
          <w:sz w:val="24"/>
          <w:szCs w:val="24"/>
        </w:rPr>
        <w:t xml:space="preserve">duplicative of fees </w:t>
      </w:r>
      <w:r w:rsidR="00784B99" w:rsidRPr="00EB0CCD">
        <w:rPr>
          <w:sz w:val="24"/>
          <w:szCs w:val="24"/>
        </w:rPr>
        <w:t xml:space="preserve">already </w:t>
      </w:r>
      <w:r w:rsidR="00404DF7" w:rsidRPr="00EB0CCD">
        <w:rPr>
          <w:sz w:val="24"/>
          <w:szCs w:val="24"/>
        </w:rPr>
        <w:t xml:space="preserve">paid, or </w:t>
      </w:r>
      <w:r w:rsidR="00784B99" w:rsidRPr="00EB0CCD">
        <w:rPr>
          <w:sz w:val="24"/>
          <w:szCs w:val="24"/>
        </w:rPr>
        <w:t xml:space="preserve">otherwise cannot be measured by </w:t>
      </w:r>
      <w:r w:rsidR="00404DF7" w:rsidRPr="00EB0CCD">
        <w:rPr>
          <w:sz w:val="24"/>
          <w:szCs w:val="24"/>
        </w:rPr>
        <w:t>some other objective metric</w:t>
      </w:r>
      <w:r w:rsidR="00EB0CCD">
        <w:rPr>
          <w:sz w:val="24"/>
          <w:szCs w:val="24"/>
        </w:rPr>
        <w:t>.</w:t>
      </w:r>
    </w:p>
    <w:p w14:paraId="19B21321" w14:textId="77777777" w:rsidR="00EB0CCD" w:rsidRPr="00EB0CCD" w:rsidRDefault="00EB0CCD" w:rsidP="00EB0CCD">
      <w:pPr>
        <w:spacing w:after="0" w:line="240" w:lineRule="auto"/>
        <w:rPr>
          <w:sz w:val="24"/>
          <w:szCs w:val="24"/>
        </w:rPr>
      </w:pPr>
    </w:p>
    <w:p w14:paraId="18097760" w14:textId="21B7CDA2" w:rsidR="00C9607F" w:rsidRDefault="00C9607F" w:rsidP="004A62A6">
      <w:pPr>
        <w:pStyle w:val="ListParagraph"/>
        <w:numPr>
          <w:ilvl w:val="0"/>
          <w:numId w:val="17"/>
        </w:numPr>
        <w:spacing w:after="0" w:line="240" w:lineRule="auto"/>
        <w:rPr>
          <w:sz w:val="24"/>
          <w:szCs w:val="24"/>
        </w:rPr>
      </w:pPr>
      <w:r w:rsidRPr="009F08DA">
        <w:rPr>
          <w:i/>
          <w:iCs/>
          <w:sz w:val="24"/>
          <w:szCs w:val="24"/>
          <w:u w:val="single"/>
        </w:rPr>
        <w:t>Inflexibility</w:t>
      </w:r>
      <w:r w:rsidRPr="009F08DA">
        <w:rPr>
          <w:sz w:val="24"/>
          <w:szCs w:val="24"/>
          <w:u w:val="single"/>
        </w:rPr>
        <w:t>:</w:t>
      </w:r>
      <w:r w:rsidRPr="009F08DA">
        <w:rPr>
          <w:sz w:val="24"/>
          <w:szCs w:val="24"/>
        </w:rPr>
        <w:t xml:space="preserve"> </w:t>
      </w:r>
      <w:r w:rsidR="003F4716">
        <w:rPr>
          <w:sz w:val="24"/>
          <w:szCs w:val="24"/>
        </w:rPr>
        <w:t>This barrier</w:t>
      </w:r>
      <w:r w:rsidRPr="009F08DA">
        <w:rPr>
          <w:sz w:val="24"/>
          <w:szCs w:val="24"/>
        </w:rPr>
        <w:t xml:space="preserve"> arise</w:t>
      </w:r>
      <w:r w:rsidR="003F4716">
        <w:rPr>
          <w:sz w:val="24"/>
          <w:szCs w:val="24"/>
        </w:rPr>
        <w:t>s</w:t>
      </w:r>
      <w:r w:rsidRPr="009F08DA">
        <w:rPr>
          <w:sz w:val="24"/>
          <w:szCs w:val="24"/>
        </w:rPr>
        <w:t xml:space="preserve"> when a </w:t>
      </w:r>
      <w:r w:rsidR="00112C79">
        <w:rPr>
          <w:sz w:val="24"/>
          <w:szCs w:val="24"/>
        </w:rPr>
        <w:t>local government</w:t>
      </w:r>
      <w:r w:rsidRPr="009F08DA">
        <w:rPr>
          <w:sz w:val="24"/>
          <w:szCs w:val="24"/>
        </w:rPr>
        <w:t xml:space="preserve"> is either unwilling or unable to </w:t>
      </w:r>
      <w:r w:rsidR="00E157AB" w:rsidRPr="00404DF7">
        <w:rPr>
          <w:sz w:val="24"/>
          <w:szCs w:val="24"/>
        </w:rPr>
        <w:t xml:space="preserve">appropriately </w:t>
      </w:r>
      <w:r w:rsidRPr="00404DF7">
        <w:rPr>
          <w:sz w:val="24"/>
          <w:szCs w:val="24"/>
        </w:rPr>
        <w:t>adjust its review and approval processes to reflect different broadband technologies or deployment strategies</w:t>
      </w:r>
      <w:r w:rsidR="0013242C" w:rsidRPr="00404DF7">
        <w:rPr>
          <w:sz w:val="24"/>
          <w:szCs w:val="24"/>
        </w:rPr>
        <w:t>.</w:t>
      </w:r>
    </w:p>
    <w:p w14:paraId="3D237F59" w14:textId="77777777" w:rsidR="007D4801" w:rsidRPr="00506E26" w:rsidRDefault="007D4801" w:rsidP="00506E26">
      <w:pPr>
        <w:spacing w:after="0" w:line="240" w:lineRule="auto"/>
        <w:rPr>
          <w:sz w:val="24"/>
          <w:szCs w:val="24"/>
        </w:rPr>
      </w:pPr>
    </w:p>
    <w:p w14:paraId="18097761" w14:textId="3C5DC991" w:rsidR="00C9607F" w:rsidRPr="00506E26" w:rsidRDefault="00C9607F" w:rsidP="004A62A6">
      <w:pPr>
        <w:pStyle w:val="ListParagraph"/>
        <w:numPr>
          <w:ilvl w:val="0"/>
          <w:numId w:val="17"/>
        </w:numPr>
        <w:spacing w:after="0" w:line="240" w:lineRule="auto"/>
        <w:rPr>
          <w:rFonts w:eastAsia="Times New Roman" w:cs="Times New Roman"/>
          <w:sz w:val="24"/>
          <w:szCs w:val="24"/>
        </w:rPr>
      </w:pPr>
      <w:r w:rsidRPr="00404DF7">
        <w:rPr>
          <w:rFonts w:eastAsia="Times New Roman" w:cs="Times New Roman"/>
          <w:i/>
          <w:iCs/>
          <w:sz w:val="24"/>
          <w:szCs w:val="24"/>
          <w:u w:val="single"/>
        </w:rPr>
        <w:t>Inordinance</w:t>
      </w:r>
      <w:r w:rsidRPr="00404DF7">
        <w:rPr>
          <w:rFonts w:eastAsia="Times New Roman" w:cs="Times New Roman"/>
          <w:b/>
          <w:bCs/>
          <w:sz w:val="24"/>
          <w:szCs w:val="24"/>
          <w:u w:val="single"/>
        </w:rPr>
        <w:t>:</w:t>
      </w:r>
      <w:r w:rsidRPr="00404DF7">
        <w:rPr>
          <w:rFonts w:eastAsia="Times New Roman" w:cs="Times New Roman"/>
          <w:b/>
          <w:bCs/>
          <w:sz w:val="24"/>
          <w:szCs w:val="24"/>
        </w:rPr>
        <w:t xml:space="preserve"> </w:t>
      </w:r>
      <w:r w:rsidRPr="00404DF7">
        <w:rPr>
          <w:rFonts w:eastAsia="Times New Roman" w:cs="Times New Roman"/>
          <w:sz w:val="24"/>
          <w:szCs w:val="24"/>
        </w:rPr>
        <w:t xml:space="preserve">This barrier occurs when </w:t>
      </w:r>
      <w:r w:rsidR="0FCEA0FA" w:rsidRPr="00404DF7">
        <w:rPr>
          <w:rFonts w:eastAsia="Times New Roman" w:cs="Times New Roman"/>
          <w:sz w:val="24"/>
          <w:szCs w:val="24"/>
        </w:rPr>
        <w:t>the</w:t>
      </w:r>
      <w:r w:rsidR="156EA689" w:rsidRPr="00404DF7">
        <w:rPr>
          <w:rFonts w:eastAsia="Times New Roman" w:cs="Times New Roman"/>
          <w:sz w:val="24"/>
          <w:szCs w:val="24"/>
        </w:rPr>
        <w:t xml:space="preserve"> </w:t>
      </w:r>
      <w:r w:rsidRPr="00404DF7">
        <w:rPr>
          <w:rFonts w:eastAsia="Times New Roman" w:cs="Times New Roman"/>
          <w:sz w:val="24"/>
          <w:szCs w:val="24"/>
        </w:rPr>
        <w:t xml:space="preserve">conditions, requests, or requirements </w:t>
      </w:r>
      <w:r w:rsidR="0FCEA0FA" w:rsidRPr="00404DF7">
        <w:rPr>
          <w:rFonts w:eastAsia="Times New Roman" w:cs="Times New Roman"/>
          <w:sz w:val="24"/>
          <w:szCs w:val="24"/>
        </w:rPr>
        <w:t xml:space="preserve">put forward by a state or </w:t>
      </w:r>
      <w:r w:rsidR="00112C79">
        <w:rPr>
          <w:rFonts w:eastAsia="Times New Roman" w:cs="Times New Roman"/>
          <w:sz w:val="24"/>
          <w:szCs w:val="24"/>
        </w:rPr>
        <w:t>local</w:t>
      </w:r>
      <w:r w:rsidR="0FCEA0FA" w:rsidRPr="00404DF7">
        <w:rPr>
          <w:rFonts w:eastAsia="Times New Roman" w:cs="Times New Roman"/>
          <w:sz w:val="24"/>
          <w:szCs w:val="24"/>
        </w:rPr>
        <w:t xml:space="preserve"> entity </w:t>
      </w:r>
      <w:r w:rsidRPr="00404DF7">
        <w:rPr>
          <w:rFonts w:eastAsia="Times New Roman" w:cs="Times New Roman"/>
          <w:sz w:val="24"/>
          <w:szCs w:val="24"/>
        </w:rPr>
        <w:t>are unreasonable or overly burdensome</w:t>
      </w:r>
      <w:r w:rsidR="0013242C" w:rsidRPr="00404DF7">
        <w:rPr>
          <w:sz w:val="24"/>
          <w:szCs w:val="24"/>
        </w:rPr>
        <w:t>.</w:t>
      </w:r>
    </w:p>
    <w:p w14:paraId="761A285B" w14:textId="77777777" w:rsidR="007D4801" w:rsidRPr="00506E26" w:rsidRDefault="007D4801" w:rsidP="00506E26">
      <w:pPr>
        <w:spacing w:after="0" w:line="240" w:lineRule="auto"/>
        <w:rPr>
          <w:rFonts w:eastAsia="Times New Roman" w:cs="Times New Roman"/>
          <w:sz w:val="24"/>
          <w:szCs w:val="24"/>
        </w:rPr>
      </w:pPr>
    </w:p>
    <w:p w14:paraId="18097762" w14:textId="0D23BFBE" w:rsidR="00C9607F" w:rsidRPr="00404DF7" w:rsidRDefault="00C9607F" w:rsidP="004A62A6">
      <w:pPr>
        <w:pStyle w:val="ListParagraph"/>
        <w:numPr>
          <w:ilvl w:val="0"/>
          <w:numId w:val="17"/>
        </w:numPr>
        <w:spacing w:after="0" w:line="240" w:lineRule="auto"/>
        <w:rPr>
          <w:rFonts w:eastAsia="Times New Roman" w:cs="Times New Roman"/>
          <w:b/>
          <w:bCs/>
          <w:sz w:val="24"/>
          <w:szCs w:val="24"/>
        </w:rPr>
      </w:pPr>
      <w:r w:rsidRPr="00404DF7">
        <w:rPr>
          <w:rFonts w:eastAsia="Times New Roman" w:cs="Times New Roman"/>
          <w:i/>
          <w:iCs/>
          <w:sz w:val="24"/>
          <w:szCs w:val="24"/>
          <w:u w:val="single"/>
        </w:rPr>
        <w:t>No</w:t>
      </w:r>
      <w:r w:rsidR="0E3254E8" w:rsidRPr="00404DF7">
        <w:rPr>
          <w:rFonts w:eastAsia="Times New Roman" w:cs="Times New Roman"/>
          <w:i/>
          <w:iCs/>
          <w:sz w:val="24"/>
          <w:szCs w:val="24"/>
          <w:u w:val="single"/>
        </w:rPr>
        <w:t>nc</w:t>
      </w:r>
      <w:r w:rsidRPr="00404DF7">
        <w:rPr>
          <w:rFonts w:eastAsia="Times New Roman" w:cs="Times New Roman"/>
          <w:i/>
          <w:iCs/>
          <w:sz w:val="24"/>
          <w:szCs w:val="24"/>
          <w:u w:val="single"/>
        </w:rPr>
        <w:t>ompliance</w:t>
      </w:r>
      <w:r w:rsidRPr="00404DF7">
        <w:rPr>
          <w:rFonts w:eastAsia="Times New Roman" w:cs="Times New Roman"/>
          <w:sz w:val="24"/>
          <w:szCs w:val="24"/>
        </w:rPr>
        <w:t xml:space="preserve">: </w:t>
      </w:r>
      <w:r w:rsidR="003F4716">
        <w:rPr>
          <w:rFonts w:eastAsia="Times New Roman" w:cs="Times New Roman"/>
          <w:sz w:val="24"/>
          <w:szCs w:val="24"/>
        </w:rPr>
        <w:t>This barrier</w:t>
      </w:r>
      <w:r w:rsidRPr="00404DF7">
        <w:rPr>
          <w:sz w:val="24"/>
          <w:szCs w:val="24"/>
        </w:rPr>
        <w:t xml:space="preserve"> occurs when </w:t>
      </w:r>
      <w:r w:rsidR="0E6EDDE3" w:rsidRPr="00404DF7">
        <w:rPr>
          <w:sz w:val="24"/>
          <w:szCs w:val="24"/>
        </w:rPr>
        <w:t xml:space="preserve">a </w:t>
      </w:r>
      <w:r w:rsidRPr="00404DF7">
        <w:rPr>
          <w:sz w:val="24"/>
          <w:szCs w:val="24"/>
        </w:rPr>
        <w:t xml:space="preserve">state or </w:t>
      </w:r>
      <w:r w:rsidR="00112C79">
        <w:rPr>
          <w:sz w:val="24"/>
          <w:szCs w:val="24"/>
        </w:rPr>
        <w:t>local</w:t>
      </w:r>
      <w:r w:rsidRPr="00404DF7">
        <w:rPr>
          <w:sz w:val="24"/>
          <w:szCs w:val="24"/>
        </w:rPr>
        <w:t xml:space="preserve"> </w:t>
      </w:r>
      <w:r w:rsidR="00F24C94" w:rsidRPr="00404DF7">
        <w:rPr>
          <w:sz w:val="24"/>
          <w:szCs w:val="24"/>
        </w:rPr>
        <w:t>authority</w:t>
      </w:r>
      <w:r w:rsidR="30EBFE46" w:rsidRPr="00404DF7">
        <w:rPr>
          <w:sz w:val="24"/>
          <w:szCs w:val="24"/>
        </w:rPr>
        <w:t xml:space="preserve"> or applicant</w:t>
      </w:r>
      <w:r w:rsidRPr="00404DF7">
        <w:rPr>
          <w:sz w:val="24"/>
          <w:szCs w:val="24"/>
        </w:rPr>
        <w:t xml:space="preserve"> fail</w:t>
      </w:r>
      <w:r w:rsidR="0E6EDDE3" w:rsidRPr="00404DF7">
        <w:rPr>
          <w:sz w:val="24"/>
          <w:szCs w:val="24"/>
        </w:rPr>
        <w:t>s</w:t>
      </w:r>
      <w:r w:rsidRPr="00404DF7">
        <w:rPr>
          <w:sz w:val="24"/>
          <w:szCs w:val="24"/>
        </w:rPr>
        <w:t xml:space="preserve"> to enforce or comply with </w:t>
      </w:r>
      <w:r w:rsidR="00E157AB" w:rsidRPr="00404DF7">
        <w:rPr>
          <w:sz w:val="24"/>
          <w:szCs w:val="24"/>
        </w:rPr>
        <w:t xml:space="preserve">their </w:t>
      </w:r>
      <w:r w:rsidRPr="00404DF7">
        <w:rPr>
          <w:sz w:val="24"/>
          <w:szCs w:val="24"/>
        </w:rPr>
        <w:t>established rules or procedures</w:t>
      </w:r>
      <w:r w:rsidR="006E3563" w:rsidRPr="00404DF7">
        <w:rPr>
          <w:sz w:val="24"/>
          <w:szCs w:val="24"/>
        </w:rPr>
        <w:t>.</w:t>
      </w:r>
    </w:p>
    <w:p w14:paraId="18097763" w14:textId="77777777" w:rsidR="00C9607F" w:rsidRPr="00404DF7" w:rsidRDefault="00C9607F" w:rsidP="004A62A6">
      <w:pPr>
        <w:spacing w:after="0" w:line="240" w:lineRule="auto"/>
        <w:rPr>
          <w:rFonts w:cs="Times New Roman"/>
          <w:sz w:val="24"/>
          <w:szCs w:val="24"/>
        </w:rPr>
      </w:pPr>
    </w:p>
    <w:p w14:paraId="123EF31D" w14:textId="3C2FF739" w:rsidR="00663B60" w:rsidRPr="00B222AE" w:rsidRDefault="007D2C87" w:rsidP="004A62A6">
      <w:pPr>
        <w:spacing w:after="0" w:line="240" w:lineRule="auto"/>
        <w:rPr>
          <w:sz w:val="24"/>
          <w:szCs w:val="24"/>
        </w:rPr>
      </w:pPr>
      <w:r w:rsidRPr="00404DF7">
        <w:rPr>
          <w:sz w:val="24"/>
          <w:szCs w:val="24"/>
        </w:rPr>
        <w:t xml:space="preserve">As cited </w:t>
      </w:r>
      <w:r w:rsidRPr="00B547C3">
        <w:rPr>
          <w:sz w:val="24"/>
          <w:szCs w:val="24"/>
        </w:rPr>
        <w:t xml:space="preserve">by </w:t>
      </w:r>
      <w:r w:rsidR="00B547C3">
        <w:rPr>
          <w:sz w:val="24"/>
          <w:szCs w:val="24"/>
        </w:rPr>
        <w:t xml:space="preserve">many </w:t>
      </w:r>
      <w:r w:rsidR="5AAED41C" w:rsidRPr="00B547C3">
        <w:rPr>
          <w:sz w:val="24"/>
          <w:szCs w:val="24"/>
        </w:rPr>
        <w:t>in comments to the FCC</w:t>
      </w:r>
      <w:r w:rsidRPr="00B547C3">
        <w:rPr>
          <w:sz w:val="24"/>
          <w:szCs w:val="24"/>
        </w:rPr>
        <w:t>,</w:t>
      </w:r>
      <w:r w:rsidR="00B547C3">
        <w:rPr>
          <w:sz w:val="24"/>
          <w:szCs w:val="24"/>
        </w:rPr>
        <w:t xml:space="preserve"> broadband providers </w:t>
      </w:r>
      <w:r w:rsidR="00C31088" w:rsidRPr="00B547C3">
        <w:rPr>
          <w:sz w:val="24"/>
          <w:szCs w:val="24"/>
        </w:rPr>
        <w:t>perceive</w:t>
      </w:r>
      <w:r w:rsidRPr="00B547C3">
        <w:rPr>
          <w:sz w:val="24"/>
          <w:szCs w:val="24"/>
        </w:rPr>
        <w:t xml:space="preserve"> these barriers</w:t>
      </w:r>
      <w:r w:rsidR="00B547C3">
        <w:rPr>
          <w:sz w:val="24"/>
          <w:szCs w:val="24"/>
        </w:rPr>
        <w:t xml:space="preserve"> as </w:t>
      </w:r>
      <w:r w:rsidR="004F6D2D">
        <w:rPr>
          <w:sz w:val="24"/>
          <w:szCs w:val="24"/>
        </w:rPr>
        <w:t xml:space="preserve">the </w:t>
      </w:r>
      <w:r w:rsidR="00B547C3">
        <w:rPr>
          <w:sz w:val="24"/>
          <w:szCs w:val="24"/>
        </w:rPr>
        <w:t>cause of delayed</w:t>
      </w:r>
      <w:r w:rsidR="153CCFDD" w:rsidRPr="00B547C3">
        <w:rPr>
          <w:sz w:val="24"/>
          <w:szCs w:val="24"/>
        </w:rPr>
        <w:t xml:space="preserve"> broadband deployment and </w:t>
      </w:r>
      <w:r w:rsidR="000F23D4">
        <w:rPr>
          <w:sz w:val="24"/>
          <w:szCs w:val="24"/>
        </w:rPr>
        <w:t xml:space="preserve">explained that these barriers </w:t>
      </w:r>
      <w:r w:rsidR="153CCFDD" w:rsidRPr="00B547C3">
        <w:rPr>
          <w:sz w:val="24"/>
          <w:szCs w:val="24"/>
        </w:rPr>
        <w:t>discourage investment in communities</w:t>
      </w:r>
      <w:r w:rsidR="153CCFDD" w:rsidRPr="00B222AE">
        <w:rPr>
          <w:sz w:val="24"/>
          <w:szCs w:val="24"/>
        </w:rPr>
        <w:t xml:space="preserve">. </w:t>
      </w:r>
      <w:r w:rsidR="5D926E27" w:rsidRPr="00B222AE">
        <w:rPr>
          <w:sz w:val="24"/>
          <w:szCs w:val="24"/>
        </w:rPr>
        <w:t>For example, uncertainty around fees–how they are set</w:t>
      </w:r>
      <w:r w:rsidR="000F23D4">
        <w:rPr>
          <w:sz w:val="24"/>
          <w:szCs w:val="24"/>
        </w:rPr>
        <w:t>, and</w:t>
      </w:r>
      <w:r w:rsidR="1EE90C9A" w:rsidRPr="00B222AE">
        <w:rPr>
          <w:sz w:val="24"/>
          <w:szCs w:val="24"/>
        </w:rPr>
        <w:t xml:space="preserve"> how they compare to fees elsewhere</w:t>
      </w:r>
      <w:r w:rsidR="00B547C3">
        <w:rPr>
          <w:sz w:val="24"/>
          <w:szCs w:val="24"/>
        </w:rPr>
        <w:t>–</w:t>
      </w:r>
      <w:r w:rsidR="1EE90C9A" w:rsidRPr="00B222AE">
        <w:rPr>
          <w:sz w:val="24"/>
          <w:szCs w:val="24"/>
        </w:rPr>
        <w:t>can result in h</w:t>
      </w:r>
      <w:r w:rsidR="153CCFDD" w:rsidRPr="00B222AE">
        <w:rPr>
          <w:sz w:val="24"/>
          <w:szCs w:val="24"/>
        </w:rPr>
        <w:t>igher construction costs</w:t>
      </w:r>
      <w:r w:rsidR="1EE90C9A" w:rsidRPr="00B222AE">
        <w:rPr>
          <w:sz w:val="24"/>
          <w:szCs w:val="24"/>
        </w:rPr>
        <w:t xml:space="preserve">, which </w:t>
      </w:r>
      <w:r w:rsidRPr="00B222AE">
        <w:rPr>
          <w:sz w:val="24"/>
          <w:szCs w:val="24"/>
        </w:rPr>
        <w:t xml:space="preserve">can cause providers to forgo or delay deployment projects. </w:t>
      </w:r>
      <w:r w:rsidR="009E7AA2">
        <w:rPr>
          <w:sz w:val="24"/>
          <w:szCs w:val="24"/>
        </w:rPr>
        <w:t xml:space="preserve">Such </w:t>
      </w:r>
      <w:r w:rsidR="009E7AA2">
        <w:rPr>
          <w:rFonts w:cs="Times New Roman"/>
          <w:sz w:val="24"/>
          <w:szCs w:val="24"/>
        </w:rPr>
        <w:t>d</w:t>
      </w:r>
      <w:r w:rsidR="005F6D1E" w:rsidRPr="0069105A">
        <w:rPr>
          <w:rFonts w:cs="Times New Roman"/>
          <w:sz w:val="24"/>
          <w:szCs w:val="24"/>
        </w:rPr>
        <w:t>elays</w:t>
      </w:r>
      <w:r w:rsidR="009E7AA2">
        <w:rPr>
          <w:rFonts w:cs="Times New Roman"/>
          <w:sz w:val="24"/>
          <w:szCs w:val="24"/>
        </w:rPr>
        <w:t xml:space="preserve">, coupled with </w:t>
      </w:r>
      <w:r w:rsidR="005F6D1E" w:rsidRPr="0069105A">
        <w:rPr>
          <w:rFonts w:cs="Times New Roman"/>
          <w:sz w:val="24"/>
          <w:szCs w:val="24"/>
        </w:rPr>
        <w:t>lack of transparency in fee structures, even if unintentional, can increase costs to providers and discourage</w:t>
      </w:r>
      <w:r w:rsidR="009F08DA">
        <w:rPr>
          <w:rFonts w:cs="Times New Roman"/>
          <w:sz w:val="24"/>
          <w:szCs w:val="24"/>
        </w:rPr>
        <w:t xml:space="preserve"> long</w:t>
      </w:r>
      <w:r w:rsidR="005217D2">
        <w:rPr>
          <w:rFonts w:cs="Times New Roman"/>
          <w:sz w:val="24"/>
          <w:szCs w:val="24"/>
        </w:rPr>
        <w:t>-</w:t>
      </w:r>
      <w:r w:rsidR="009F08DA">
        <w:rPr>
          <w:rFonts w:cs="Times New Roman"/>
          <w:sz w:val="24"/>
          <w:szCs w:val="24"/>
        </w:rPr>
        <w:t xml:space="preserve">term network investments. </w:t>
      </w:r>
      <w:r w:rsidR="005F1166">
        <w:rPr>
          <w:rFonts w:cs="Times New Roman"/>
          <w:sz w:val="24"/>
          <w:szCs w:val="24"/>
        </w:rPr>
        <w:t>Similarly, l</w:t>
      </w:r>
      <w:r w:rsidR="003E6CD0">
        <w:rPr>
          <w:rFonts w:cs="Times New Roman"/>
          <w:sz w:val="24"/>
          <w:szCs w:val="24"/>
        </w:rPr>
        <w:t>imited information and</w:t>
      </w:r>
      <w:r w:rsidR="00E368CA">
        <w:rPr>
          <w:rFonts w:cs="Times New Roman"/>
          <w:sz w:val="24"/>
          <w:szCs w:val="24"/>
        </w:rPr>
        <w:t xml:space="preserve"> un</w:t>
      </w:r>
      <w:r w:rsidR="003E6CD0">
        <w:rPr>
          <w:rFonts w:cs="Times New Roman"/>
          <w:sz w:val="24"/>
          <w:szCs w:val="24"/>
        </w:rPr>
        <w:t>timely c</w:t>
      </w:r>
      <w:r w:rsidR="00E56052" w:rsidRPr="0069105A">
        <w:rPr>
          <w:rFonts w:cs="Times New Roman"/>
          <w:sz w:val="24"/>
          <w:szCs w:val="24"/>
        </w:rPr>
        <w:t xml:space="preserve">ommunications from </w:t>
      </w:r>
      <w:r w:rsidR="00C31088" w:rsidRPr="00B547C3">
        <w:rPr>
          <w:rFonts w:cs="Times New Roman"/>
          <w:sz w:val="24"/>
          <w:szCs w:val="24"/>
        </w:rPr>
        <w:t>providers</w:t>
      </w:r>
      <w:r w:rsidR="00E56052" w:rsidRPr="00B547C3">
        <w:rPr>
          <w:rFonts w:cs="Times New Roman"/>
          <w:sz w:val="24"/>
          <w:szCs w:val="24"/>
        </w:rPr>
        <w:t xml:space="preserve"> can frustrate </w:t>
      </w:r>
      <w:r w:rsidR="00F41DDA">
        <w:rPr>
          <w:rFonts w:cs="Times New Roman"/>
          <w:sz w:val="24"/>
          <w:szCs w:val="24"/>
        </w:rPr>
        <w:t>localities</w:t>
      </w:r>
      <w:r w:rsidR="00E56052" w:rsidRPr="00B547C3">
        <w:rPr>
          <w:rFonts w:cs="Times New Roman"/>
          <w:sz w:val="24"/>
          <w:szCs w:val="24"/>
        </w:rPr>
        <w:t xml:space="preserve"> that feel they do</w:t>
      </w:r>
      <w:r w:rsidR="009F08DA">
        <w:rPr>
          <w:rFonts w:cs="Times New Roman"/>
          <w:sz w:val="24"/>
          <w:szCs w:val="24"/>
        </w:rPr>
        <w:t xml:space="preserve"> not</w:t>
      </w:r>
      <w:r w:rsidR="00E56052" w:rsidRPr="00B547C3">
        <w:rPr>
          <w:rFonts w:cs="Times New Roman"/>
          <w:sz w:val="24"/>
          <w:szCs w:val="24"/>
        </w:rPr>
        <w:t xml:space="preserve"> have adequate insight into</w:t>
      </w:r>
      <w:r w:rsidR="008A5088">
        <w:rPr>
          <w:rFonts w:cs="Times New Roman"/>
          <w:sz w:val="24"/>
          <w:szCs w:val="24"/>
        </w:rPr>
        <w:t xml:space="preserve"> a provider’s</w:t>
      </w:r>
      <w:r w:rsidR="00E56052" w:rsidRPr="00B547C3">
        <w:rPr>
          <w:rFonts w:cs="Times New Roman"/>
          <w:sz w:val="24"/>
          <w:szCs w:val="24"/>
        </w:rPr>
        <w:t xml:space="preserve"> long term planning of needs</w:t>
      </w:r>
      <w:r w:rsidR="008A5088">
        <w:rPr>
          <w:rFonts w:cs="Times New Roman"/>
          <w:sz w:val="24"/>
          <w:szCs w:val="24"/>
        </w:rPr>
        <w:t>, and therefore cannot readily structure deployment workflows</w:t>
      </w:r>
      <w:r w:rsidR="00E56052" w:rsidRPr="00B547C3">
        <w:rPr>
          <w:rFonts w:cs="Times New Roman"/>
          <w:sz w:val="24"/>
          <w:szCs w:val="24"/>
        </w:rPr>
        <w:t>.</w:t>
      </w:r>
      <w:r w:rsidR="005F6D1E" w:rsidRPr="00B547C3">
        <w:rPr>
          <w:rFonts w:cs="Times New Roman"/>
          <w:sz w:val="24"/>
          <w:szCs w:val="24"/>
        </w:rPr>
        <w:t xml:space="preserve"> </w:t>
      </w:r>
    </w:p>
    <w:p w14:paraId="757AF47D" w14:textId="312B7A68" w:rsidR="00663B60" w:rsidRPr="00B222AE" w:rsidRDefault="00663B60" w:rsidP="004A62A6">
      <w:pPr>
        <w:spacing w:after="0" w:line="240" w:lineRule="auto"/>
        <w:rPr>
          <w:sz w:val="24"/>
          <w:szCs w:val="24"/>
        </w:rPr>
      </w:pPr>
    </w:p>
    <w:p w14:paraId="18097764" w14:textId="72CDAFFD" w:rsidR="00663B60" w:rsidRPr="00B222AE" w:rsidRDefault="0CE76A34" w:rsidP="004A62A6">
      <w:pPr>
        <w:spacing w:after="0" w:line="240" w:lineRule="auto"/>
        <w:rPr>
          <w:sz w:val="24"/>
          <w:szCs w:val="24"/>
        </w:rPr>
      </w:pPr>
      <w:r w:rsidRPr="00B222AE">
        <w:rPr>
          <w:sz w:val="24"/>
          <w:szCs w:val="24"/>
        </w:rPr>
        <w:t>I</w:t>
      </w:r>
      <w:r w:rsidR="0E3254E8" w:rsidRPr="00B222AE">
        <w:rPr>
          <w:sz w:val="24"/>
          <w:szCs w:val="24"/>
        </w:rPr>
        <w:t xml:space="preserve">n many instances, the existence of these </w:t>
      </w:r>
      <w:r w:rsidR="2E376ED4" w:rsidRPr="00B222AE">
        <w:rPr>
          <w:sz w:val="24"/>
          <w:szCs w:val="24"/>
        </w:rPr>
        <w:t>impediments is unintentional</w:t>
      </w:r>
      <w:r w:rsidR="7D4A963B" w:rsidRPr="00B222AE">
        <w:rPr>
          <w:sz w:val="24"/>
          <w:szCs w:val="24"/>
        </w:rPr>
        <w:t xml:space="preserve">, stemming from a number of root causes that, with additional resources and greater collaboration with providers, could be addressed in a </w:t>
      </w:r>
      <w:r w:rsidR="122997DE" w:rsidRPr="00B222AE">
        <w:rPr>
          <w:sz w:val="24"/>
          <w:szCs w:val="24"/>
        </w:rPr>
        <w:t xml:space="preserve">collegial and </w:t>
      </w:r>
      <w:r w:rsidR="7D4A963B" w:rsidRPr="00B222AE">
        <w:rPr>
          <w:sz w:val="24"/>
          <w:szCs w:val="24"/>
        </w:rPr>
        <w:t>ti</w:t>
      </w:r>
      <w:r w:rsidR="091C4AB6" w:rsidRPr="00B222AE">
        <w:rPr>
          <w:sz w:val="24"/>
          <w:szCs w:val="24"/>
        </w:rPr>
        <w:t>mely manner</w:t>
      </w:r>
      <w:r w:rsidR="2E376ED4" w:rsidRPr="00B222AE">
        <w:rPr>
          <w:sz w:val="24"/>
          <w:szCs w:val="24"/>
        </w:rPr>
        <w:t xml:space="preserve">. </w:t>
      </w:r>
      <w:r w:rsidR="091C4AB6" w:rsidRPr="00B222AE">
        <w:rPr>
          <w:sz w:val="24"/>
          <w:szCs w:val="24"/>
        </w:rPr>
        <w:t xml:space="preserve">These root causes include: </w:t>
      </w:r>
      <w:r w:rsidR="00663B60" w:rsidRPr="00B222AE">
        <w:rPr>
          <w:sz w:val="24"/>
          <w:szCs w:val="24"/>
        </w:rPr>
        <w:t xml:space="preserve"> </w:t>
      </w:r>
    </w:p>
    <w:p w14:paraId="18097765" w14:textId="77777777" w:rsidR="0013242C" w:rsidRPr="00B222AE" w:rsidRDefault="0013242C" w:rsidP="004A62A6">
      <w:pPr>
        <w:spacing w:after="0" w:line="240" w:lineRule="auto"/>
        <w:rPr>
          <w:sz w:val="24"/>
          <w:szCs w:val="24"/>
        </w:rPr>
      </w:pPr>
    </w:p>
    <w:p w14:paraId="15708A22" w14:textId="073042F3" w:rsidR="00B642F1" w:rsidRDefault="5E4BAEBB" w:rsidP="004A62A6">
      <w:pPr>
        <w:pStyle w:val="ListParagraph"/>
        <w:numPr>
          <w:ilvl w:val="0"/>
          <w:numId w:val="4"/>
        </w:numPr>
        <w:spacing w:after="0" w:line="240" w:lineRule="auto"/>
        <w:rPr>
          <w:sz w:val="24"/>
          <w:szCs w:val="24"/>
        </w:rPr>
      </w:pPr>
      <w:r w:rsidRPr="0069105A">
        <w:rPr>
          <w:sz w:val="24"/>
          <w:szCs w:val="24"/>
          <w:u w:val="single"/>
        </w:rPr>
        <w:t xml:space="preserve">Lack of Capacity: </w:t>
      </w:r>
      <w:r w:rsidRPr="0069105A">
        <w:rPr>
          <w:sz w:val="24"/>
          <w:szCs w:val="24"/>
        </w:rPr>
        <w:t xml:space="preserve"> </w:t>
      </w:r>
      <w:r w:rsidR="28B6CDF0" w:rsidRPr="0069105A">
        <w:rPr>
          <w:sz w:val="24"/>
          <w:szCs w:val="24"/>
        </w:rPr>
        <w:t xml:space="preserve">A </w:t>
      </w:r>
      <w:r w:rsidRPr="0069105A">
        <w:rPr>
          <w:sz w:val="24"/>
          <w:szCs w:val="24"/>
        </w:rPr>
        <w:t xml:space="preserve">government </w:t>
      </w:r>
      <w:r w:rsidR="28B6CDF0" w:rsidRPr="00B547C3">
        <w:rPr>
          <w:sz w:val="24"/>
          <w:szCs w:val="24"/>
        </w:rPr>
        <w:t xml:space="preserve">entity </w:t>
      </w:r>
      <w:r w:rsidRPr="00B547C3">
        <w:rPr>
          <w:sz w:val="24"/>
          <w:szCs w:val="24"/>
        </w:rPr>
        <w:t xml:space="preserve">might not have the resources or required technical knowledge to process </w:t>
      </w:r>
      <w:r w:rsidR="28B6CDF0" w:rsidRPr="00B547C3">
        <w:rPr>
          <w:sz w:val="24"/>
          <w:szCs w:val="24"/>
        </w:rPr>
        <w:t>a</w:t>
      </w:r>
      <w:r w:rsidRPr="00B547C3">
        <w:rPr>
          <w:sz w:val="24"/>
          <w:szCs w:val="24"/>
        </w:rPr>
        <w:t xml:space="preserve"> request in </w:t>
      </w:r>
      <w:r w:rsidR="00833466" w:rsidRPr="00B547C3">
        <w:rPr>
          <w:sz w:val="24"/>
          <w:szCs w:val="24"/>
        </w:rPr>
        <w:t>the time frame expected by the provider</w:t>
      </w:r>
      <w:r w:rsidR="00DE6EAF">
        <w:rPr>
          <w:sz w:val="24"/>
          <w:szCs w:val="24"/>
        </w:rPr>
        <w:t xml:space="preserve">. </w:t>
      </w:r>
      <w:r w:rsidRPr="00B547C3">
        <w:rPr>
          <w:sz w:val="24"/>
          <w:szCs w:val="24"/>
        </w:rPr>
        <w:t xml:space="preserve">This may be a seasonal issue or may be an </w:t>
      </w:r>
      <w:r w:rsidRPr="009F08DA">
        <w:rPr>
          <w:sz w:val="24"/>
          <w:szCs w:val="24"/>
        </w:rPr>
        <w:t>issue relating to the volume of applications.</w:t>
      </w:r>
    </w:p>
    <w:p w14:paraId="1BE28EEA" w14:textId="77777777" w:rsidR="007D56F3" w:rsidRPr="009F08DA" w:rsidRDefault="007D56F3" w:rsidP="00827AE0">
      <w:pPr>
        <w:pStyle w:val="ListParagraph"/>
        <w:spacing w:after="0" w:line="240" w:lineRule="auto"/>
        <w:rPr>
          <w:sz w:val="24"/>
          <w:szCs w:val="24"/>
        </w:rPr>
      </w:pPr>
    </w:p>
    <w:p w14:paraId="18097766" w14:textId="68539410" w:rsidR="00B642F1" w:rsidRDefault="00B642F1" w:rsidP="004A62A6">
      <w:pPr>
        <w:pStyle w:val="ListParagraph"/>
        <w:numPr>
          <w:ilvl w:val="0"/>
          <w:numId w:val="4"/>
        </w:numPr>
        <w:spacing w:after="0" w:line="240" w:lineRule="auto"/>
        <w:rPr>
          <w:sz w:val="24"/>
          <w:szCs w:val="24"/>
        </w:rPr>
      </w:pPr>
      <w:r w:rsidRPr="00404DF7">
        <w:rPr>
          <w:sz w:val="24"/>
          <w:szCs w:val="24"/>
          <w:u w:val="single"/>
        </w:rPr>
        <w:t>Lack of Information</w:t>
      </w:r>
      <w:r w:rsidR="00480FA3" w:rsidRPr="00404DF7">
        <w:rPr>
          <w:sz w:val="24"/>
          <w:szCs w:val="24"/>
          <w:u w:val="single"/>
        </w:rPr>
        <w:t>:</w:t>
      </w:r>
      <w:r w:rsidRPr="00404DF7">
        <w:rPr>
          <w:b/>
          <w:bCs/>
          <w:sz w:val="24"/>
          <w:szCs w:val="24"/>
        </w:rPr>
        <w:t xml:space="preserve"> </w:t>
      </w:r>
      <w:r w:rsidR="003C48D6" w:rsidRPr="00404DF7">
        <w:rPr>
          <w:b/>
          <w:bCs/>
          <w:sz w:val="24"/>
          <w:szCs w:val="24"/>
        </w:rPr>
        <w:t xml:space="preserve"> </w:t>
      </w:r>
      <w:r w:rsidR="008F49B5" w:rsidRPr="00404DF7">
        <w:rPr>
          <w:sz w:val="24"/>
          <w:szCs w:val="24"/>
        </w:rPr>
        <w:t>Providers may not have provided the necessary information regarding requirements and expectations of the city</w:t>
      </w:r>
      <w:r w:rsidR="552444C8" w:rsidRPr="00404DF7">
        <w:rPr>
          <w:sz w:val="24"/>
          <w:szCs w:val="24"/>
        </w:rPr>
        <w:t>, o</w:t>
      </w:r>
      <w:r w:rsidR="008F49B5" w:rsidRPr="00404DF7">
        <w:rPr>
          <w:sz w:val="24"/>
          <w:szCs w:val="24"/>
        </w:rPr>
        <w:t xml:space="preserve">r </w:t>
      </w:r>
      <w:r w:rsidR="00C829BD">
        <w:rPr>
          <w:sz w:val="24"/>
          <w:szCs w:val="24"/>
        </w:rPr>
        <w:t>the local government might not have provided enough information, knowledge and/or resources to make a decision</w:t>
      </w:r>
      <w:r w:rsidR="00E368CA">
        <w:rPr>
          <w:sz w:val="24"/>
          <w:szCs w:val="24"/>
        </w:rPr>
        <w:t>.</w:t>
      </w:r>
      <w:r w:rsidRPr="0069105A">
        <w:rPr>
          <w:sz w:val="24"/>
          <w:szCs w:val="24"/>
        </w:rPr>
        <w:t xml:space="preserve"> </w:t>
      </w:r>
    </w:p>
    <w:p w14:paraId="2F45B652" w14:textId="77777777" w:rsidR="007D56F3" w:rsidRPr="00827AE0" w:rsidRDefault="007D56F3" w:rsidP="00827AE0">
      <w:pPr>
        <w:pStyle w:val="ListParagraph"/>
        <w:rPr>
          <w:sz w:val="24"/>
          <w:szCs w:val="24"/>
        </w:rPr>
      </w:pPr>
    </w:p>
    <w:p w14:paraId="18097767" w14:textId="47607A62" w:rsidR="00B80C78" w:rsidRPr="00827AE0" w:rsidRDefault="00B642F1" w:rsidP="004A62A6">
      <w:pPr>
        <w:pStyle w:val="ListParagraph"/>
        <w:numPr>
          <w:ilvl w:val="0"/>
          <w:numId w:val="18"/>
        </w:numPr>
        <w:spacing w:after="0" w:line="240" w:lineRule="auto"/>
        <w:rPr>
          <w:b/>
          <w:bCs/>
          <w:sz w:val="24"/>
          <w:szCs w:val="24"/>
        </w:rPr>
      </w:pPr>
      <w:r w:rsidRPr="0069105A">
        <w:rPr>
          <w:sz w:val="24"/>
          <w:szCs w:val="24"/>
          <w:u w:val="single"/>
        </w:rPr>
        <w:t>Lack of Process</w:t>
      </w:r>
      <w:r w:rsidR="00480FA3" w:rsidRPr="0069105A">
        <w:rPr>
          <w:sz w:val="24"/>
          <w:szCs w:val="24"/>
          <w:u w:val="single"/>
        </w:rPr>
        <w:t>:</w:t>
      </w:r>
      <w:r w:rsidRPr="00B547C3">
        <w:rPr>
          <w:b/>
          <w:bCs/>
          <w:sz w:val="24"/>
          <w:szCs w:val="24"/>
        </w:rPr>
        <w:t xml:space="preserve"> </w:t>
      </w:r>
      <w:r w:rsidRPr="00B547C3">
        <w:rPr>
          <w:sz w:val="24"/>
          <w:szCs w:val="24"/>
        </w:rPr>
        <w:t xml:space="preserve">The local government </w:t>
      </w:r>
      <w:r w:rsidR="00AE31C4" w:rsidRPr="00B547C3">
        <w:rPr>
          <w:sz w:val="24"/>
          <w:szCs w:val="24"/>
        </w:rPr>
        <w:t xml:space="preserve">might </w:t>
      </w:r>
      <w:r w:rsidRPr="00B547C3">
        <w:rPr>
          <w:sz w:val="24"/>
          <w:szCs w:val="24"/>
        </w:rPr>
        <w:t>not have a process to cover the type of application/request presented</w:t>
      </w:r>
      <w:r w:rsidR="003C48D6" w:rsidRPr="00B547C3">
        <w:rPr>
          <w:sz w:val="24"/>
          <w:szCs w:val="24"/>
        </w:rPr>
        <w:t xml:space="preserve">, especially in cases where new technology is being deployed. </w:t>
      </w:r>
    </w:p>
    <w:p w14:paraId="3472F281" w14:textId="77777777" w:rsidR="007D56F3" w:rsidRPr="009F08DA" w:rsidRDefault="007D56F3" w:rsidP="00827AE0">
      <w:pPr>
        <w:pStyle w:val="ListParagraph"/>
        <w:spacing w:after="0" w:line="240" w:lineRule="auto"/>
        <w:rPr>
          <w:b/>
          <w:bCs/>
          <w:sz w:val="24"/>
          <w:szCs w:val="24"/>
        </w:rPr>
      </w:pPr>
    </w:p>
    <w:p w14:paraId="18097768" w14:textId="20D9FBAB" w:rsidR="00B80C78" w:rsidRPr="00827AE0" w:rsidRDefault="00B80C78" w:rsidP="004A62A6">
      <w:pPr>
        <w:pStyle w:val="ListParagraph"/>
        <w:numPr>
          <w:ilvl w:val="0"/>
          <w:numId w:val="18"/>
        </w:numPr>
        <w:spacing w:after="0" w:line="240" w:lineRule="auto"/>
        <w:rPr>
          <w:b/>
          <w:bCs/>
          <w:sz w:val="24"/>
          <w:szCs w:val="24"/>
        </w:rPr>
      </w:pPr>
      <w:r w:rsidRPr="009F08DA">
        <w:rPr>
          <w:sz w:val="24"/>
          <w:szCs w:val="24"/>
          <w:u w:val="single"/>
        </w:rPr>
        <w:t>Lack of Flexibility:</w:t>
      </w:r>
      <w:r w:rsidRPr="009F08DA">
        <w:rPr>
          <w:sz w:val="24"/>
          <w:szCs w:val="24"/>
        </w:rPr>
        <w:t xml:space="preserve"> Some </w:t>
      </w:r>
      <w:r w:rsidR="00B40AE8">
        <w:rPr>
          <w:sz w:val="24"/>
          <w:szCs w:val="24"/>
        </w:rPr>
        <w:t>localities</w:t>
      </w:r>
      <w:r w:rsidRPr="009F08DA">
        <w:rPr>
          <w:sz w:val="24"/>
          <w:szCs w:val="24"/>
        </w:rPr>
        <w:t xml:space="preserve"> might</w:t>
      </w:r>
      <w:r w:rsidR="003C48D6" w:rsidRPr="009F08DA">
        <w:rPr>
          <w:sz w:val="24"/>
          <w:szCs w:val="24"/>
        </w:rPr>
        <w:t xml:space="preserve"> seem to be</w:t>
      </w:r>
      <w:r w:rsidR="003C48D6" w:rsidRPr="009776A8">
        <w:rPr>
          <w:sz w:val="24"/>
          <w:szCs w:val="24"/>
        </w:rPr>
        <w:t xml:space="preserve"> </w:t>
      </w:r>
      <w:r w:rsidRPr="009776A8">
        <w:rPr>
          <w:sz w:val="24"/>
          <w:szCs w:val="24"/>
        </w:rPr>
        <w:t>inflexible because existing procedures embody their preferences</w:t>
      </w:r>
      <w:r w:rsidR="009B4C71" w:rsidRPr="00404DF7">
        <w:rPr>
          <w:sz w:val="24"/>
          <w:szCs w:val="24"/>
        </w:rPr>
        <w:t xml:space="preserve"> and </w:t>
      </w:r>
      <w:r w:rsidRPr="00404DF7">
        <w:rPr>
          <w:sz w:val="24"/>
          <w:szCs w:val="24"/>
        </w:rPr>
        <w:t>values for how networks should be built</w:t>
      </w:r>
      <w:r w:rsidR="003C48D6" w:rsidRPr="00404DF7">
        <w:rPr>
          <w:sz w:val="24"/>
          <w:szCs w:val="24"/>
        </w:rPr>
        <w:t xml:space="preserve"> in their communities</w:t>
      </w:r>
      <w:r w:rsidRPr="00404DF7">
        <w:rPr>
          <w:sz w:val="24"/>
          <w:szCs w:val="24"/>
        </w:rPr>
        <w:t xml:space="preserve">. </w:t>
      </w:r>
    </w:p>
    <w:p w14:paraId="38CE0393" w14:textId="77777777" w:rsidR="007D56F3" w:rsidRPr="00827AE0" w:rsidRDefault="007D56F3" w:rsidP="00827AE0">
      <w:pPr>
        <w:spacing w:after="0" w:line="240" w:lineRule="auto"/>
        <w:rPr>
          <w:b/>
          <w:bCs/>
          <w:sz w:val="24"/>
          <w:szCs w:val="24"/>
        </w:rPr>
      </w:pPr>
    </w:p>
    <w:p w14:paraId="1809776A" w14:textId="5C669BBB" w:rsidR="00480FA3" w:rsidRPr="00827AE0" w:rsidRDefault="00B642F1" w:rsidP="004A62A6">
      <w:pPr>
        <w:pStyle w:val="ListParagraph"/>
        <w:numPr>
          <w:ilvl w:val="0"/>
          <w:numId w:val="18"/>
        </w:numPr>
        <w:spacing w:after="0" w:line="240" w:lineRule="auto"/>
        <w:rPr>
          <w:b/>
          <w:bCs/>
          <w:sz w:val="24"/>
          <w:szCs w:val="24"/>
        </w:rPr>
      </w:pPr>
      <w:r w:rsidRPr="00404DF7">
        <w:rPr>
          <w:sz w:val="24"/>
          <w:szCs w:val="24"/>
          <w:u w:val="single"/>
        </w:rPr>
        <w:t>Lack of Agreement</w:t>
      </w:r>
      <w:r w:rsidR="00480FA3" w:rsidRPr="00404DF7">
        <w:rPr>
          <w:sz w:val="24"/>
          <w:szCs w:val="24"/>
          <w:u w:val="single"/>
        </w:rPr>
        <w:t>:</w:t>
      </w:r>
      <w:r w:rsidRPr="00404DF7">
        <w:rPr>
          <w:b/>
          <w:bCs/>
          <w:sz w:val="24"/>
          <w:szCs w:val="24"/>
        </w:rPr>
        <w:t xml:space="preserve"> </w:t>
      </w:r>
      <w:r w:rsidR="00E16D8B" w:rsidRPr="00404DF7">
        <w:rPr>
          <w:sz w:val="24"/>
          <w:szCs w:val="24"/>
        </w:rPr>
        <w:t xml:space="preserve">Local governments and broadband providers have </w:t>
      </w:r>
      <w:r w:rsidR="003C48D6" w:rsidRPr="00404DF7">
        <w:rPr>
          <w:sz w:val="24"/>
          <w:szCs w:val="24"/>
        </w:rPr>
        <w:t xml:space="preserve">conflicting goals </w:t>
      </w:r>
      <w:r w:rsidR="185071F2" w:rsidRPr="00404DF7">
        <w:rPr>
          <w:sz w:val="24"/>
          <w:szCs w:val="24"/>
        </w:rPr>
        <w:t xml:space="preserve">and are driven by </w:t>
      </w:r>
      <w:r w:rsidR="4857598D" w:rsidRPr="00404DF7">
        <w:rPr>
          <w:sz w:val="24"/>
          <w:szCs w:val="24"/>
        </w:rPr>
        <w:t xml:space="preserve">different incentives, a dynamic that can </w:t>
      </w:r>
      <w:r w:rsidR="00E16D8B" w:rsidRPr="00404DF7">
        <w:rPr>
          <w:sz w:val="24"/>
          <w:szCs w:val="24"/>
        </w:rPr>
        <w:t xml:space="preserve">result in </w:t>
      </w:r>
      <w:r w:rsidR="003C48D6" w:rsidRPr="00404DF7">
        <w:rPr>
          <w:sz w:val="24"/>
          <w:szCs w:val="24"/>
        </w:rPr>
        <w:t xml:space="preserve">a </w:t>
      </w:r>
      <w:r w:rsidR="00E16D8B" w:rsidRPr="00404DF7">
        <w:rPr>
          <w:sz w:val="24"/>
          <w:szCs w:val="24"/>
        </w:rPr>
        <w:t>lack of agreement.</w:t>
      </w:r>
      <w:r w:rsidR="00A918E8" w:rsidRPr="00404DF7">
        <w:rPr>
          <w:sz w:val="24"/>
          <w:szCs w:val="24"/>
        </w:rPr>
        <w:t xml:space="preserve"> For example, a local government might </w:t>
      </w:r>
      <w:r w:rsidR="003C48D6" w:rsidRPr="00404DF7">
        <w:rPr>
          <w:sz w:val="24"/>
          <w:szCs w:val="24"/>
        </w:rPr>
        <w:t xml:space="preserve">require </w:t>
      </w:r>
      <w:r w:rsidR="00391653" w:rsidRPr="00404DF7">
        <w:rPr>
          <w:sz w:val="24"/>
          <w:szCs w:val="24"/>
        </w:rPr>
        <w:t xml:space="preserve">a </w:t>
      </w:r>
      <w:r w:rsidR="003C48D6" w:rsidRPr="00404DF7">
        <w:rPr>
          <w:sz w:val="24"/>
          <w:szCs w:val="24"/>
        </w:rPr>
        <w:t xml:space="preserve">provider </w:t>
      </w:r>
      <w:r w:rsidR="00391653" w:rsidRPr="00404DF7">
        <w:rPr>
          <w:sz w:val="24"/>
          <w:szCs w:val="24"/>
        </w:rPr>
        <w:t xml:space="preserve">to </w:t>
      </w:r>
      <w:r w:rsidR="003C48D6" w:rsidRPr="00404DF7">
        <w:rPr>
          <w:sz w:val="24"/>
          <w:szCs w:val="24"/>
        </w:rPr>
        <w:t xml:space="preserve">compensate them for </w:t>
      </w:r>
      <w:r w:rsidR="00A918E8" w:rsidRPr="00404DF7">
        <w:rPr>
          <w:sz w:val="24"/>
          <w:szCs w:val="24"/>
        </w:rPr>
        <w:t xml:space="preserve">access to </w:t>
      </w:r>
      <w:r w:rsidR="185071F2" w:rsidRPr="00404DF7">
        <w:rPr>
          <w:sz w:val="24"/>
          <w:szCs w:val="24"/>
        </w:rPr>
        <w:t>ROW</w:t>
      </w:r>
      <w:r w:rsidR="004060E5" w:rsidRPr="00404DF7">
        <w:rPr>
          <w:sz w:val="24"/>
          <w:szCs w:val="24"/>
        </w:rPr>
        <w:t>s</w:t>
      </w:r>
      <w:r w:rsidR="00A918E8" w:rsidRPr="00404DF7">
        <w:rPr>
          <w:sz w:val="24"/>
          <w:szCs w:val="24"/>
        </w:rPr>
        <w:t xml:space="preserve"> while a broadband </w:t>
      </w:r>
      <w:r w:rsidR="00C64B26" w:rsidRPr="00404DF7">
        <w:rPr>
          <w:sz w:val="24"/>
          <w:szCs w:val="24"/>
        </w:rPr>
        <w:t>provider</w:t>
      </w:r>
      <w:r w:rsidR="00A918E8" w:rsidRPr="00404DF7">
        <w:rPr>
          <w:sz w:val="24"/>
          <w:szCs w:val="24"/>
        </w:rPr>
        <w:t xml:space="preserve"> </w:t>
      </w:r>
      <w:r w:rsidR="003C48D6" w:rsidRPr="00404DF7">
        <w:rPr>
          <w:sz w:val="24"/>
          <w:szCs w:val="24"/>
        </w:rPr>
        <w:t xml:space="preserve">may believe the proposed compensation is </w:t>
      </w:r>
      <w:r w:rsidR="00833466" w:rsidRPr="00404DF7">
        <w:rPr>
          <w:sz w:val="24"/>
          <w:szCs w:val="24"/>
        </w:rPr>
        <w:t xml:space="preserve">unreasonable.  </w:t>
      </w:r>
    </w:p>
    <w:p w14:paraId="171BB882" w14:textId="77777777" w:rsidR="007D56F3" w:rsidRPr="00827AE0" w:rsidRDefault="007D56F3" w:rsidP="00827AE0">
      <w:pPr>
        <w:spacing w:after="0" w:line="240" w:lineRule="auto"/>
        <w:rPr>
          <w:b/>
          <w:bCs/>
          <w:sz w:val="24"/>
          <w:szCs w:val="24"/>
        </w:rPr>
      </w:pPr>
    </w:p>
    <w:p w14:paraId="1809776B" w14:textId="1859E62B" w:rsidR="003C48D6" w:rsidRPr="00827AE0" w:rsidRDefault="00633BA8" w:rsidP="004A62A6">
      <w:pPr>
        <w:pStyle w:val="ListParagraph"/>
        <w:numPr>
          <w:ilvl w:val="0"/>
          <w:numId w:val="18"/>
        </w:numPr>
        <w:spacing w:after="0" w:line="240" w:lineRule="auto"/>
        <w:rPr>
          <w:b/>
          <w:bCs/>
          <w:sz w:val="24"/>
          <w:szCs w:val="24"/>
        </w:rPr>
      </w:pPr>
      <w:r w:rsidRPr="00B222AE">
        <w:rPr>
          <w:sz w:val="24"/>
          <w:szCs w:val="24"/>
          <w:u w:val="single"/>
        </w:rPr>
        <w:t>Lack of Principles Regarding Fees</w:t>
      </w:r>
      <w:r w:rsidR="00480FA3" w:rsidRPr="00B222AE">
        <w:rPr>
          <w:sz w:val="24"/>
          <w:szCs w:val="24"/>
          <w:u w:val="single"/>
        </w:rPr>
        <w:t>:</w:t>
      </w:r>
      <w:r w:rsidRPr="00B222AE">
        <w:rPr>
          <w:b/>
          <w:sz w:val="24"/>
          <w:szCs w:val="24"/>
        </w:rPr>
        <w:t xml:space="preserve">  </w:t>
      </w:r>
      <w:r w:rsidRPr="00B222AE">
        <w:rPr>
          <w:sz w:val="24"/>
          <w:szCs w:val="24"/>
        </w:rPr>
        <w:t xml:space="preserve">There is </w:t>
      </w:r>
      <w:r w:rsidR="004060E5" w:rsidRPr="00B222AE">
        <w:rPr>
          <w:sz w:val="24"/>
          <w:szCs w:val="24"/>
        </w:rPr>
        <w:t xml:space="preserve">little </w:t>
      </w:r>
      <w:r w:rsidRPr="00B222AE">
        <w:rPr>
          <w:sz w:val="24"/>
          <w:szCs w:val="24"/>
        </w:rPr>
        <w:t xml:space="preserve">guidance on what </w:t>
      </w:r>
      <w:r w:rsidR="009B514B" w:rsidRPr="00B222AE">
        <w:rPr>
          <w:sz w:val="24"/>
          <w:szCs w:val="24"/>
        </w:rPr>
        <w:t xml:space="preserve">comprises </w:t>
      </w:r>
      <w:r w:rsidRPr="00B222AE">
        <w:rPr>
          <w:sz w:val="24"/>
          <w:szCs w:val="24"/>
        </w:rPr>
        <w:t>an appropriate fee</w:t>
      </w:r>
      <w:r w:rsidR="009B514B" w:rsidRPr="00B222AE">
        <w:rPr>
          <w:sz w:val="24"/>
          <w:szCs w:val="24"/>
        </w:rPr>
        <w:t xml:space="preserve"> for ROW access and </w:t>
      </w:r>
      <w:r w:rsidR="003F4927" w:rsidRPr="00B222AE">
        <w:rPr>
          <w:sz w:val="24"/>
          <w:szCs w:val="24"/>
        </w:rPr>
        <w:t xml:space="preserve">attachments to </w:t>
      </w:r>
      <w:r w:rsidR="00B40AE8">
        <w:rPr>
          <w:sz w:val="24"/>
          <w:szCs w:val="24"/>
        </w:rPr>
        <w:t>local</w:t>
      </w:r>
      <w:r w:rsidR="003F4927" w:rsidRPr="00B222AE">
        <w:rPr>
          <w:sz w:val="24"/>
          <w:szCs w:val="24"/>
        </w:rPr>
        <w:t xml:space="preserve"> assets,</w:t>
      </w:r>
      <w:r w:rsidR="009776A8">
        <w:rPr>
          <w:sz w:val="24"/>
          <w:szCs w:val="24"/>
        </w:rPr>
        <w:t xml:space="preserve"> </w:t>
      </w:r>
      <w:r w:rsidR="003F4927" w:rsidRPr="00B222AE">
        <w:rPr>
          <w:sz w:val="24"/>
          <w:szCs w:val="24"/>
        </w:rPr>
        <w:t>even</w:t>
      </w:r>
      <w:r w:rsidRPr="00B222AE">
        <w:rPr>
          <w:sz w:val="24"/>
          <w:szCs w:val="24"/>
        </w:rPr>
        <w:t xml:space="preserve"> when a provider already has access to the </w:t>
      </w:r>
      <w:r w:rsidR="008F49B5" w:rsidRPr="00B222AE">
        <w:rPr>
          <w:sz w:val="24"/>
          <w:szCs w:val="24"/>
        </w:rPr>
        <w:t>ROW</w:t>
      </w:r>
      <w:r w:rsidR="003C48D6" w:rsidRPr="00B222AE">
        <w:rPr>
          <w:sz w:val="24"/>
          <w:szCs w:val="24"/>
        </w:rPr>
        <w:t>. In</w:t>
      </w:r>
      <w:r w:rsidR="003C48D6" w:rsidRPr="0069105A">
        <w:rPr>
          <w:sz w:val="24"/>
          <w:szCs w:val="24"/>
        </w:rPr>
        <w:t xml:space="preserve"> </w:t>
      </w:r>
      <w:r w:rsidR="00906BC9">
        <w:rPr>
          <w:sz w:val="24"/>
          <w:szCs w:val="24"/>
        </w:rPr>
        <w:t>certain</w:t>
      </w:r>
      <w:r w:rsidR="003C48D6" w:rsidRPr="00B222AE">
        <w:rPr>
          <w:sz w:val="24"/>
          <w:szCs w:val="24"/>
        </w:rPr>
        <w:t xml:space="preserve"> cases, authorities may intentionally treat providers differently based on technologies, in order to extract </w:t>
      </w:r>
      <w:r w:rsidR="6B5D5E14" w:rsidRPr="00B222AE">
        <w:rPr>
          <w:sz w:val="24"/>
          <w:szCs w:val="24"/>
        </w:rPr>
        <w:t xml:space="preserve">additional </w:t>
      </w:r>
      <w:r w:rsidR="003C48D6" w:rsidRPr="00B222AE">
        <w:rPr>
          <w:sz w:val="24"/>
          <w:szCs w:val="24"/>
        </w:rPr>
        <w:t xml:space="preserve">fees and </w:t>
      </w:r>
      <w:r w:rsidR="6B5D5E14" w:rsidRPr="00B222AE">
        <w:rPr>
          <w:sz w:val="24"/>
          <w:szCs w:val="24"/>
        </w:rPr>
        <w:t xml:space="preserve">impose additional </w:t>
      </w:r>
      <w:r w:rsidR="003C48D6" w:rsidRPr="00B222AE">
        <w:rPr>
          <w:sz w:val="24"/>
          <w:szCs w:val="24"/>
        </w:rPr>
        <w:t>obligations.</w:t>
      </w:r>
    </w:p>
    <w:p w14:paraId="1E7683D4" w14:textId="77777777" w:rsidR="007D56F3" w:rsidRPr="00827AE0" w:rsidRDefault="007D56F3" w:rsidP="00827AE0">
      <w:pPr>
        <w:spacing w:after="0" w:line="240" w:lineRule="auto"/>
        <w:rPr>
          <w:b/>
          <w:bCs/>
          <w:sz w:val="24"/>
          <w:szCs w:val="24"/>
        </w:rPr>
      </w:pPr>
    </w:p>
    <w:p w14:paraId="1809776C" w14:textId="77777777" w:rsidR="00633BA8" w:rsidRPr="0069105A" w:rsidRDefault="00633BA8" w:rsidP="004A62A6">
      <w:pPr>
        <w:pStyle w:val="ListParagraph"/>
        <w:numPr>
          <w:ilvl w:val="0"/>
          <w:numId w:val="18"/>
        </w:numPr>
        <w:spacing w:after="0" w:line="240" w:lineRule="auto"/>
        <w:rPr>
          <w:b/>
          <w:i/>
          <w:sz w:val="24"/>
          <w:szCs w:val="24"/>
        </w:rPr>
      </w:pPr>
      <w:r w:rsidRPr="00B222AE">
        <w:rPr>
          <w:sz w:val="24"/>
          <w:szCs w:val="24"/>
          <w:u w:val="single"/>
        </w:rPr>
        <w:t>Lack of Transparency</w:t>
      </w:r>
      <w:r w:rsidR="00480FA3" w:rsidRPr="00B222AE">
        <w:rPr>
          <w:sz w:val="24"/>
          <w:szCs w:val="24"/>
          <w:u w:val="single"/>
        </w:rPr>
        <w:t>:</w:t>
      </w:r>
      <w:r w:rsidRPr="00B222AE">
        <w:rPr>
          <w:b/>
          <w:sz w:val="24"/>
          <w:szCs w:val="24"/>
        </w:rPr>
        <w:t xml:space="preserve">  </w:t>
      </w:r>
      <w:r w:rsidRPr="00B222AE">
        <w:rPr>
          <w:sz w:val="24"/>
          <w:szCs w:val="24"/>
        </w:rPr>
        <w:t xml:space="preserve">Negotiations stall and partnerships fray without insight as to how fees are calculated, both with respect to the fee itself and why fees might be allocated differently </w:t>
      </w:r>
      <w:r w:rsidR="00B412DA" w:rsidRPr="00B222AE">
        <w:rPr>
          <w:sz w:val="24"/>
          <w:szCs w:val="24"/>
        </w:rPr>
        <w:t xml:space="preserve">among </w:t>
      </w:r>
      <w:r w:rsidRPr="00B222AE">
        <w:rPr>
          <w:sz w:val="24"/>
          <w:szCs w:val="24"/>
        </w:rPr>
        <w:t>providers.</w:t>
      </w:r>
    </w:p>
    <w:p w14:paraId="1809776D" w14:textId="77777777" w:rsidR="00541DC9" w:rsidRPr="00B222AE" w:rsidRDefault="00541DC9" w:rsidP="004A62A6">
      <w:pPr>
        <w:pStyle w:val="ListParagraph"/>
        <w:spacing w:after="0" w:line="240" w:lineRule="auto"/>
        <w:rPr>
          <w:sz w:val="24"/>
          <w:szCs w:val="24"/>
        </w:rPr>
      </w:pPr>
    </w:p>
    <w:p w14:paraId="175CB3FC" w14:textId="77777777" w:rsidR="003D5E70" w:rsidRDefault="003D5E70" w:rsidP="00EB0CCD">
      <w:pPr>
        <w:spacing w:after="0" w:line="240" w:lineRule="auto"/>
        <w:rPr>
          <w:sz w:val="24"/>
          <w:szCs w:val="24"/>
        </w:rPr>
      </w:pPr>
    </w:p>
    <w:p w14:paraId="31CFF139" w14:textId="0BE55C95" w:rsidR="007C3C2F" w:rsidRDefault="007C3C2F" w:rsidP="00FF42A3">
      <w:pPr>
        <w:spacing w:after="0" w:line="240" w:lineRule="auto"/>
        <w:rPr>
          <w:sz w:val="24"/>
          <w:szCs w:val="24"/>
        </w:rPr>
      </w:pPr>
      <w:r>
        <w:rPr>
          <w:sz w:val="24"/>
          <w:szCs w:val="24"/>
        </w:rPr>
        <w:t>_______________________________</w:t>
      </w:r>
    </w:p>
    <w:p w14:paraId="1165DD3E" w14:textId="77777777" w:rsidR="007C3C2F" w:rsidRDefault="007C3C2F" w:rsidP="00FF42A3">
      <w:pPr>
        <w:spacing w:after="0" w:line="240" w:lineRule="auto"/>
        <w:rPr>
          <w:sz w:val="24"/>
          <w:szCs w:val="24"/>
        </w:rPr>
      </w:pPr>
    </w:p>
    <w:p w14:paraId="1809792A" w14:textId="79230E83" w:rsidR="00B36D25" w:rsidRPr="00404DF7" w:rsidRDefault="003D5E70" w:rsidP="00FF42A3">
      <w:pPr>
        <w:spacing w:after="0" w:line="240" w:lineRule="auto"/>
        <w:rPr>
          <w:sz w:val="24"/>
          <w:szCs w:val="24"/>
        </w:rPr>
      </w:pPr>
      <w:r>
        <w:rPr>
          <w:sz w:val="24"/>
          <w:szCs w:val="24"/>
        </w:rPr>
        <w:t>For the November 9</w:t>
      </w:r>
      <w:r w:rsidRPr="003D5E70">
        <w:rPr>
          <w:sz w:val="24"/>
          <w:szCs w:val="24"/>
          <w:vertAlign w:val="superscript"/>
        </w:rPr>
        <w:t>th</w:t>
      </w:r>
      <w:r>
        <w:rPr>
          <w:sz w:val="24"/>
          <w:szCs w:val="24"/>
        </w:rPr>
        <w:t xml:space="preserve"> BDAC meeting, the individual workgroups were asked to submit recommendations to the BDAC for vote and discussion. In light of this request, and in light of the fact that the Barriers WG </w:t>
      </w:r>
      <w:r w:rsidR="0027137E">
        <w:rPr>
          <w:sz w:val="24"/>
          <w:szCs w:val="24"/>
        </w:rPr>
        <w:t>is</w:t>
      </w:r>
      <w:r>
        <w:rPr>
          <w:sz w:val="24"/>
          <w:szCs w:val="24"/>
        </w:rPr>
        <w:t xml:space="preserve"> still in the process of working towards consensus on its overall report</w:t>
      </w:r>
      <w:r w:rsidR="0027137E">
        <w:rPr>
          <w:sz w:val="24"/>
          <w:szCs w:val="24"/>
        </w:rPr>
        <w:t xml:space="preserve"> and recommendations</w:t>
      </w:r>
      <w:r>
        <w:rPr>
          <w:sz w:val="24"/>
          <w:szCs w:val="24"/>
        </w:rPr>
        <w:t xml:space="preserve">, we singled out the recommendations that we were most comfortable moving forward as a group. </w:t>
      </w:r>
      <w:r w:rsidR="00474728">
        <w:rPr>
          <w:sz w:val="24"/>
          <w:szCs w:val="24"/>
        </w:rPr>
        <w:t xml:space="preserve">Those recommendations are attached as “Vote Recommendations.” </w:t>
      </w:r>
    </w:p>
    <w:sectPr w:rsidR="00B36D25" w:rsidRPr="00404DF7" w:rsidSect="00C829BD">
      <w:footerReference w:type="default" r:id="rId9"/>
      <w:footerReference w:type="first" r:id="rId10"/>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DD75B" w14:textId="77777777" w:rsidR="00166AD3" w:rsidRDefault="00166AD3" w:rsidP="003D4B0E">
      <w:pPr>
        <w:spacing w:after="0" w:line="240" w:lineRule="auto"/>
      </w:pPr>
      <w:r>
        <w:separator/>
      </w:r>
    </w:p>
  </w:endnote>
  <w:endnote w:type="continuationSeparator" w:id="0">
    <w:p w14:paraId="1578257D" w14:textId="77777777" w:rsidR="00166AD3" w:rsidRDefault="00166AD3" w:rsidP="003D4B0E">
      <w:pPr>
        <w:spacing w:after="0" w:line="240" w:lineRule="auto"/>
      </w:pPr>
      <w:r>
        <w:continuationSeparator/>
      </w:r>
    </w:p>
  </w:endnote>
  <w:endnote w:type="continuationNotice" w:id="1">
    <w:p w14:paraId="498579C8" w14:textId="77777777" w:rsidR="00166AD3" w:rsidRDefault="00166A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16DF6" w14:textId="14D90126" w:rsidR="00C829BD" w:rsidRDefault="00C829B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October 31, 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2A2565" w:rsidRPr="002A2565">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18097941" w14:textId="1BDEE46A" w:rsidR="00344C17" w:rsidRDefault="00344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286697"/>
      <w:docPartObj>
        <w:docPartGallery w:val="Page Numbers (Bottom of Page)"/>
        <w:docPartUnique/>
      </w:docPartObj>
    </w:sdtPr>
    <w:sdtEndPr>
      <w:rPr>
        <w:noProof/>
      </w:rPr>
    </w:sdtEndPr>
    <w:sdtContent>
      <w:p w14:paraId="18097943" w14:textId="07132303" w:rsidR="00344C17" w:rsidRDefault="00344C17">
        <w:pPr>
          <w:pStyle w:val="Footer"/>
          <w:jc w:val="center"/>
        </w:pPr>
        <w:r>
          <w:fldChar w:fldCharType="begin"/>
        </w:r>
        <w:r>
          <w:instrText xml:space="preserve"> PAGE   \* MERGEFORMAT </w:instrText>
        </w:r>
        <w:r>
          <w:fldChar w:fldCharType="separate"/>
        </w:r>
        <w:r w:rsidR="00C829BD">
          <w:rPr>
            <w:noProof/>
          </w:rPr>
          <w:t>1</w:t>
        </w:r>
        <w:r>
          <w:fldChar w:fldCharType="end"/>
        </w:r>
      </w:p>
    </w:sdtContent>
  </w:sdt>
  <w:p w14:paraId="18097944" w14:textId="77777777" w:rsidR="00344C17" w:rsidRDefault="00344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0FB97" w14:textId="77777777" w:rsidR="00166AD3" w:rsidRDefault="00166AD3" w:rsidP="003D4B0E">
      <w:pPr>
        <w:spacing w:after="0" w:line="240" w:lineRule="auto"/>
      </w:pPr>
      <w:r>
        <w:separator/>
      </w:r>
    </w:p>
  </w:footnote>
  <w:footnote w:type="continuationSeparator" w:id="0">
    <w:p w14:paraId="10E8334E" w14:textId="77777777" w:rsidR="00166AD3" w:rsidRDefault="00166AD3" w:rsidP="003D4B0E">
      <w:pPr>
        <w:spacing w:after="0" w:line="240" w:lineRule="auto"/>
      </w:pPr>
      <w:r>
        <w:continuationSeparator/>
      </w:r>
    </w:p>
  </w:footnote>
  <w:footnote w:type="continuationNotice" w:id="1">
    <w:p w14:paraId="53E49165" w14:textId="77777777" w:rsidR="00166AD3" w:rsidRDefault="00166AD3">
      <w:pPr>
        <w:spacing w:after="0" w:line="240" w:lineRule="auto"/>
      </w:pPr>
    </w:p>
  </w:footnote>
  <w:footnote w:id="2">
    <w:p w14:paraId="18097948" w14:textId="77777777" w:rsidR="00344C17" w:rsidRPr="00261598" w:rsidRDefault="00344C17" w:rsidP="007B55FF">
      <w:pPr>
        <w:pStyle w:val="FootnoteText"/>
        <w:spacing w:after="0"/>
      </w:pPr>
      <w:r w:rsidRPr="00261598">
        <w:rPr>
          <w:rStyle w:val="FootnoteReference"/>
        </w:rPr>
        <w:footnoteRef/>
      </w:r>
      <w:r w:rsidRPr="00261598">
        <w:t xml:space="preserve"> </w:t>
      </w:r>
      <w:r w:rsidRPr="007748CC">
        <w:rPr>
          <w:rFonts w:asciiTheme="minorHAnsi" w:hAnsiTheme="minorHAnsi"/>
          <w:i/>
        </w:rPr>
        <w:t>FCC Announces the Establishment of the Broadband Deployment Advisory Committee and Solicits Nominations for Membership</w:t>
      </w:r>
      <w:r w:rsidRPr="63BA090F">
        <w:rPr>
          <w:rFonts w:asciiTheme="minorHAnsi" w:hAnsiTheme="minorHAnsi"/>
        </w:rPr>
        <w:t xml:space="preserve">, DA 17-110, Public Notice (rel. Jan. 31, 2017).  </w:t>
      </w:r>
    </w:p>
  </w:footnote>
  <w:footnote w:id="3">
    <w:p w14:paraId="18097949" w14:textId="6794F09B" w:rsidR="00344C17" w:rsidRPr="002B165F" w:rsidRDefault="00344C17" w:rsidP="002B165F">
      <w:pPr>
        <w:pStyle w:val="FootnoteText"/>
        <w:spacing w:after="0"/>
        <w:rPr>
          <w:rFonts w:asciiTheme="minorHAnsi" w:hAnsiTheme="minorHAnsi"/>
        </w:rPr>
      </w:pPr>
      <w:r w:rsidRPr="4BA540B4">
        <w:rPr>
          <w:rStyle w:val="FootnoteReference"/>
          <w:rFonts w:asciiTheme="minorHAnsi" w:hAnsiTheme="minorHAnsi"/>
        </w:rPr>
        <w:footnoteRef/>
      </w:r>
      <w:r w:rsidRPr="4BA540B4">
        <w:rPr>
          <w:rFonts w:asciiTheme="minorHAnsi" w:hAnsiTheme="minorHAnsi"/>
        </w:rPr>
        <w:t xml:space="preserve"> FCC staff instructed the Working Group to focus only on policy recommendations, not on a legal analysis or legal recommendations. Also, the FCC staff informed </w:t>
      </w:r>
      <w:r w:rsidRPr="4384B806">
        <w:rPr>
          <w:rFonts w:asciiTheme="minorHAnsi" w:hAnsiTheme="minorHAnsi"/>
        </w:rPr>
        <w:t>to</w:t>
      </w:r>
      <w:r>
        <w:rPr>
          <w:rFonts w:asciiTheme="minorHAnsi" w:hAnsiTheme="minorHAnsi"/>
        </w:rPr>
        <w:t xml:space="preserve"> </w:t>
      </w:r>
      <w:r w:rsidRPr="4BA540B4">
        <w:rPr>
          <w:rFonts w:asciiTheme="minorHAnsi" w:hAnsiTheme="minorHAnsi"/>
        </w:rPr>
        <w:t xml:space="preserve">the Working Group that its scope did not include Tribal matters. </w:t>
      </w:r>
    </w:p>
  </w:footnote>
  <w:footnote w:id="4">
    <w:p w14:paraId="1809794A" w14:textId="77777777" w:rsidR="00344C17" w:rsidRPr="002B165F" w:rsidRDefault="00344C17">
      <w:pPr>
        <w:pStyle w:val="Default"/>
        <w:rPr>
          <w:rFonts w:asciiTheme="minorHAnsi" w:hAnsiTheme="minorHAnsi"/>
          <w:sz w:val="20"/>
        </w:rPr>
      </w:pPr>
      <w:r w:rsidRPr="63BA090F">
        <w:rPr>
          <w:rStyle w:val="FootnoteReference"/>
          <w:rFonts w:asciiTheme="minorHAnsi" w:hAnsiTheme="minorHAnsi"/>
        </w:rPr>
        <w:footnoteRef/>
      </w:r>
      <w:r w:rsidRPr="63BA090F">
        <w:rPr>
          <w:rFonts w:asciiTheme="minorHAnsi" w:hAnsiTheme="minorHAnsi"/>
          <w:sz w:val="20"/>
          <w:szCs w:val="20"/>
        </w:rPr>
        <w:t xml:space="preserve"> </w:t>
      </w:r>
      <w:r w:rsidRPr="63BA090F">
        <w:rPr>
          <w:rFonts w:asciiTheme="minorHAnsi" w:hAnsiTheme="minorHAnsi"/>
          <w:i/>
          <w:iCs/>
          <w:sz w:val="20"/>
          <w:szCs w:val="20"/>
        </w:rPr>
        <w:t>Accelerating Wireline Broadband Deployment by Removing Barriers to Infrastructure Investment</w:t>
      </w:r>
      <w:r w:rsidRPr="63BA090F">
        <w:rPr>
          <w:rFonts w:asciiTheme="minorHAnsi" w:hAnsiTheme="minorHAnsi"/>
          <w:sz w:val="20"/>
          <w:szCs w:val="20"/>
        </w:rPr>
        <w:t xml:space="preserve">, WC Docket No. 17-84, Notice of Proposed Rulemaking, Notice of Inquiry, and Request for Comment, FCC 17-37 (rel. Apr. 21, 2017).  </w:t>
      </w:r>
      <w:r w:rsidRPr="63BA090F">
        <w:rPr>
          <w:rFonts w:asciiTheme="minorHAnsi" w:hAnsiTheme="minorHAnsi"/>
          <w:i/>
          <w:iCs/>
          <w:sz w:val="20"/>
          <w:szCs w:val="20"/>
        </w:rPr>
        <w:t>Accelerating Wireless Broadband Deployment by Removing Barriers to Infrastructure Investment</w:t>
      </w:r>
      <w:r w:rsidRPr="63BA090F">
        <w:rPr>
          <w:rFonts w:asciiTheme="minorHAnsi" w:hAnsiTheme="minorHAnsi"/>
          <w:sz w:val="20"/>
          <w:szCs w:val="20"/>
        </w:rPr>
        <w:t>, WT Docket No. 17-79, Notice of Proposed Rulemaking and Notice of Inquiry, FCC 17-38 (rel. Apr. 21,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6D4B"/>
    <w:multiLevelType w:val="hybridMultilevel"/>
    <w:tmpl w:val="6BEA7E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926EC0"/>
    <w:multiLevelType w:val="hybridMultilevel"/>
    <w:tmpl w:val="1CC8935E"/>
    <w:lvl w:ilvl="0" w:tplc="26CA9E3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736C4"/>
    <w:multiLevelType w:val="hybridMultilevel"/>
    <w:tmpl w:val="90C2C55C"/>
    <w:lvl w:ilvl="0" w:tplc="D1343152">
      <w:start w:val="1"/>
      <w:numFmt w:val="bullet"/>
      <w:lvlText w:val=""/>
      <w:lvlJc w:val="left"/>
      <w:pPr>
        <w:tabs>
          <w:tab w:val="num" w:pos="720"/>
        </w:tabs>
        <w:ind w:left="720" w:hanging="360"/>
      </w:pPr>
      <w:rPr>
        <w:rFonts w:ascii="Wingdings 3" w:hAnsi="Wingdings 3" w:hint="default"/>
      </w:rPr>
    </w:lvl>
    <w:lvl w:ilvl="1" w:tplc="8CCAC4A0">
      <w:start w:val="677"/>
      <w:numFmt w:val="bullet"/>
      <w:lvlText w:val="◦"/>
      <w:lvlJc w:val="left"/>
      <w:pPr>
        <w:tabs>
          <w:tab w:val="num" w:pos="1440"/>
        </w:tabs>
        <w:ind w:left="1440" w:hanging="360"/>
      </w:pPr>
      <w:rPr>
        <w:rFonts w:ascii="Verdana" w:hAnsi="Verdana" w:hint="default"/>
      </w:rPr>
    </w:lvl>
    <w:lvl w:ilvl="2" w:tplc="C38083B6" w:tentative="1">
      <w:start w:val="1"/>
      <w:numFmt w:val="bullet"/>
      <w:lvlText w:val=""/>
      <w:lvlJc w:val="left"/>
      <w:pPr>
        <w:tabs>
          <w:tab w:val="num" w:pos="2160"/>
        </w:tabs>
        <w:ind w:left="2160" w:hanging="360"/>
      </w:pPr>
      <w:rPr>
        <w:rFonts w:ascii="Wingdings 3" w:hAnsi="Wingdings 3" w:hint="default"/>
      </w:rPr>
    </w:lvl>
    <w:lvl w:ilvl="3" w:tplc="71682066" w:tentative="1">
      <w:start w:val="1"/>
      <w:numFmt w:val="bullet"/>
      <w:lvlText w:val=""/>
      <w:lvlJc w:val="left"/>
      <w:pPr>
        <w:tabs>
          <w:tab w:val="num" w:pos="2880"/>
        </w:tabs>
        <w:ind w:left="2880" w:hanging="360"/>
      </w:pPr>
      <w:rPr>
        <w:rFonts w:ascii="Wingdings 3" w:hAnsi="Wingdings 3" w:hint="default"/>
      </w:rPr>
    </w:lvl>
    <w:lvl w:ilvl="4" w:tplc="648CA4DA" w:tentative="1">
      <w:start w:val="1"/>
      <w:numFmt w:val="bullet"/>
      <w:lvlText w:val=""/>
      <w:lvlJc w:val="left"/>
      <w:pPr>
        <w:tabs>
          <w:tab w:val="num" w:pos="3600"/>
        </w:tabs>
        <w:ind w:left="3600" w:hanging="360"/>
      </w:pPr>
      <w:rPr>
        <w:rFonts w:ascii="Wingdings 3" w:hAnsi="Wingdings 3" w:hint="default"/>
      </w:rPr>
    </w:lvl>
    <w:lvl w:ilvl="5" w:tplc="B6E2A53C" w:tentative="1">
      <w:start w:val="1"/>
      <w:numFmt w:val="bullet"/>
      <w:lvlText w:val=""/>
      <w:lvlJc w:val="left"/>
      <w:pPr>
        <w:tabs>
          <w:tab w:val="num" w:pos="4320"/>
        </w:tabs>
        <w:ind w:left="4320" w:hanging="360"/>
      </w:pPr>
      <w:rPr>
        <w:rFonts w:ascii="Wingdings 3" w:hAnsi="Wingdings 3" w:hint="default"/>
      </w:rPr>
    </w:lvl>
    <w:lvl w:ilvl="6" w:tplc="88328B6C" w:tentative="1">
      <w:start w:val="1"/>
      <w:numFmt w:val="bullet"/>
      <w:lvlText w:val=""/>
      <w:lvlJc w:val="left"/>
      <w:pPr>
        <w:tabs>
          <w:tab w:val="num" w:pos="5040"/>
        </w:tabs>
        <w:ind w:left="5040" w:hanging="360"/>
      </w:pPr>
      <w:rPr>
        <w:rFonts w:ascii="Wingdings 3" w:hAnsi="Wingdings 3" w:hint="default"/>
      </w:rPr>
    </w:lvl>
    <w:lvl w:ilvl="7" w:tplc="547A4F6E" w:tentative="1">
      <w:start w:val="1"/>
      <w:numFmt w:val="bullet"/>
      <w:lvlText w:val=""/>
      <w:lvlJc w:val="left"/>
      <w:pPr>
        <w:tabs>
          <w:tab w:val="num" w:pos="5760"/>
        </w:tabs>
        <w:ind w:left="5760" w:hanging="360"/>
      </w:pPr>
      <w:rPr>
        <w:rFonts w:ascii="Wingdings 3" w:hAnsi="Wingdings 3" w:hint="default"/>
      </w:rPr>
    </w:lvl>
    <w:lvl w:ilvl="8" w:tplc="871A66B2"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DFA5403"/>
    <w:multiLevelType w:val="hybridMultilevel"/>
    <w:tmpl w:val="84B469D0"/>
    <w:lvl w:ilvl="0" w:tplc="C7EAE56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D0AE9"/>
    <w:multiLevelType w:val="hybridMultilevel"/>
    <w:tmpl w:val="939EA080"/>
    <w:lvl w:ilvl="0" w:tplc="F0244784">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D1E8B"/>
    <w:multiLevelType w:val="multilevel"/>
    <w:tmpl w:val="CBD0A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61323"/>
    <w:multiLevelType w:val="multilevel"/>
    <w:tmpl w:val="8D987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84CB3"/>
    <w:multiLevelType w:val="multilevel"/>
    <w:tmpl w:val="ED9C16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3422D0"/>
    <w:multiLevelType w:val="hybridMultilevel"/>
    <w:tmpl w:val="5B2067F6"/>
    <w:lvl w:ilvl="0" w:tplc="FA24E33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64F6D"/>
    <w:multiLevelType w:val="multilevel"/>
    <w:tmpl w:val="BAB6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8A19E0"/>
    <w:multiLevelType w:val="hybridMultilevel"/>
    <w:tmpl w:val="ADD0B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4E5EB4"/>
    <w:multiLevelType w:val="hybridMultilevel"/>
    <w:tmpl w:val="CA14F4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060A07"/>
    <w:multiLevelType w:val="multilevel"/>
    <w:tmpl w:val="A6080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27526E9"/>
    <w:multiLevelType w:val="hybridMultilevel"/>
    <w:tmpl w:val="1EDA19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F25DA"/>
    <w:multiLevelType w:val="multilevel"/>
    <w:tmpl w:val="B3D69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60715BB"/>
    <w:multiLevelType w:val="multilevel"/>
    <w:tmpl w:val="A4222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80C04D1"/>
    <w:multiLevelType w:val="hybridMultilevel"/>
    <w:tmpl w:val="F8A458D6"/>
    <w:lvl w:ilvl="0" w:tplc="F5C07CD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AD1DA8"/>
    <w:multiLevelType w:val="hybridMultilevel"/>
    <w:tmpl w:val="C2468870"/>
    <w:lvl w:ilvl="0" w:tplc="33A6EE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42520E"/>
    <w:multiLevelType w:val="multilevel"/>
    <w:tmpl w:val="5F221A80"/>
    <w:lvl w:ilvl="0">
      <w:start w:val="1"/>
      <w:numFmt w:val="lowerLetter"/>
      <w:lvlText w:val="%1."/>
      <w:lvlJc w:val="left"/>
      <w:pPr>
        <w:ind w:left="1080" w:hanging="360"/>
      </w:pPr>
      <w:rPr>
        <w:rFonts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9" w15:restartNumberingAfterBreak="0">
    <w:nsid w:val="2BE77A84"/>
    <w:multiLevelType w:val="hybridMultilevel"/>
    <w:tmpl w:val="FD9CF9BC"/>
    <w:lvl w:ilvl="0" w:tplc="AAFC074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3C21AB"/>
    <w:multiLevelType w:val="multilevel"/>
    <w:tmpl w:val="9F58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174B2"/>
    <w:multiLevelType w:val="hybridMultilevel"/>
    <w:tmpl w:val="37842D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D81CC0"/>
    <w:multiLevelType w:val="hybridMultilevel"/>
    <w:tmpl w:val="2FE02EF4"/>
    <w:lvl w:ilvl="0" w:tplc="4676736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50339B"/>
    <w:multiLevelType w:val="hybridMultilevel"/>
    <w:tmpl w:val="DA08E0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2B5AFE"/>
    <w:multiLevelType w:val="hybridMultilevel"/>
    <w:tmpl w:val="3D0663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3B06840"/>
    <w:multiLevelType w:val="hybridMultilevel"/>
    <w:tmpl w:val="73088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AC371D"/>
    <w:multiLevelType w:val="hybridMultilevel"/>
    <w:tmpl w:val="03482880"/>
    <w:lvl w:ilvl="0" w:tplc="3EAC9EF6">
      <w:start w:val="1"/>
      <w:numFmt w:val="bullet"/>
      <w:lvlText w:val=""/>
      <w:lvlJc w:val="left"/>
      <w:pPr>
        <w:ind w:left="720" w:hanging="360"/>
      </w:pPr>
      <w:rPr>
        <w:rFonts w:ascii="Symbol" w:hAnsi="Symbol" w:hint="default"/>
      </w:rPr>
    </w:lvl>
    <w:lvl w:ilvl="1" w:tplc="E7D44638">
      <w:start w:val="1"/>
      <w:numFmt w:val="bullet"/>
      <w:lvlText w:val="o"/>
      <w:lvlJc w:val="left"/>
      <w:pPr>
        <w:ind w:left="1440" w:hanging="360"/>
      </w:pPr>
      <w:rPr>
        <w:rFonts w:ascii="Courier New" w:hAnsi="Courier New" w:hint="default"/>
      </w:rPr>
    </w:lvl>
    <w:lvl w:ilvl="2" w:tplc="49F215C4">
      <w:start w:val="1"/>
      <w:numFmt w:val="bullet"/>
      <w:lvlText w:val=""/>
      <w:lvlJc w:val="left"/>
      <w:pPr>
        <w:ind w:left="2160" w:hanging="360"/>
      </w:pPr>
      <w:rPr>
        <w:rFonts w:ascii="Wingdings" w:hAnsi="Wingdings" w:hint="default"/>
      </w:rPr>
    </w:lvl>
    <w:lvl w:ilvl="3" w:tplc="77FEDA7E">
      <w:start w:val="1"/>
      <w:numFmt w:val="bullet"/>
      <w:lvlText w:val=""/>
      <w:lvlJc w:val="left"/>
      <w:pPr>
        <w:ind w:left="2880" w:hanging="360"/>
      </w:pPr>
      <w:rPr>
        <w:rFonts w:ascii="Symbol" w:hAnsi="Symbol" w:hint="default"/>
      </w:rPr>
    </w:lvl>
    <w:lvl w:ilvl="4" w:tplc="CB7A952A">
      <w:start w:val="1"/>
      <w:numFmt w:val="bullet"/>
      <w:lvlText w:val="o"/>
      <w:lvlJc w:val="left"/>
      <w:pPr>
        <w:ind w:left="3600" w:hanging="360"/>
      </w:pPr>
      <w:rPr>
        <w:rFonts w:ascii="Courier New" w:hAnsi="Courier New" w:hint="default"/>
      </w:rPr>
    </w:lvl>
    <w:lvl w:ilvl="5" w:tplc="F6F83592">
      <w:start w:val="1"/>
      <w:numFmt w:val="bullet"/>
      <w:lvlText w:val=""/>
      <w:lvlJc w:val="left"/>
      <w:pPr>
        <w:ind w:left="4320" w:hanging="360"/>
      </w:pPr>
      <w:rPr>
        <w:rFonts w:ascii="Wingdings" w:hAnsi="Wingdings" w:hint="default"/>
      </w:rPr>
    </w:lvl>
    <w:lvl w:ilvl="6" w:tplc="80466D36">
      <w:start w:val="1"/>
      <w:numFmt w:val="bullet"/>
      <w:lvlText w:val=""/>
      <w:lvlJc w:val="left"/>
      <w:pPr>
        <w:ind w:left="5040" w:hanging="360"/>
      </w:pPr>
      <w:rPr>
        <w:rFonts w:ascii="Symbol" w:hAnsi="Symbol" w:hint="default"/>
      </w:rPr>
    </w:lvl>
    <w:lvl w:ilvl="7" w:tplc="16D8D636">
      <w:start w:val="1"/>
      <w:numFmt w:val="bullet"/>
      <w:lvlText w:val="o"/>
      <w:lvlJc w:val="left"/>
      <w:pPr>
        <w:ind w:left="5760" w:hanging="360"/>
      </w:pPr>
      <w:rPr>
        <w:rFonts w:ascii="Courier New" w:hAnsi="Courier New" w:hint="default"/>
      </w:rPr>
    </w:lvl>
    <w:lvl w:ilvl="8" w:tplc="7BBAEEEA">
      <w:start w:val="1"/>
      <w:numFmt w:val="bullet"/>
      <w:lvlText w:val=""/>
      <w:lvlJc w:val="left"/>
      <w:pPr>
        <w:ind w:left="6480" w:hanging="360"/>
      </w:pPr>
      <w:rPr>
        <w:rFonts w:ascii="Wingdings" w:hAnsi="Wingdings" w:hint="default"/>
      </w:rPr>
    </w:lvl>
  </w:abstractNum>
  <w:abstractNum w:abstractNumId="27" w15:restartNumberingAfterBreak="0">
    <w:nsid w:val="462408B9"/>
    <w:multiLevelType w:val="hybridMultilevel"/>
    <w:tmpl w:val="BFE8CB22"/>
    <w:lvl w:ilvl="0" w:tplc="8A042D48">
      <w:start w:val="1"/>
      <w:numFmt w:val="bullet"/>
      <w:lvlText w:val=""/>
      <w:lvlJc w:val="left"/>
      <w:pPr>
        <w:tabs>
          <w:tab w:val="num" w:pos="720"/>
        </w:tabs>
        <w:ind w:left="720" w:hanging="360"/>
      </w:pPr>
      <w:rPr>
        <w:rFonts w:ascii="Wingdings 3" w:hAnsi="Wingdings 3" w:hint="default"/>
      </w:rPr>
    </w:lvl>
    <w:lvl w:ilvl="1" w:tplc="76040C0C">
      <w:start w:val="667"/>
      <w:numFmt w:val="bullet"/>
      <w:lvlText w:val="◦"/>
      <w:lvlJc w:val="left"/>
      <w:pPr>
        <w:tabs>
          <w:tab w:val="num" w:pos="1440"/>
        </w:tabs>
        <w:ind w:left="1440" w:hanging="360"/>
      </w:pPr>
      <w:rPr>
        <w:rFonts w:ascii="Verdana" w:hAnsi="Verdana" w:hint="default"/>
      </w:rPr>
    </w:lvl>
    <w:lvl w:ilvl="2" w:tplc="6F9AC84C">
      <w:start w:val="667"/>
      <w:numFmt w:val="bullet"/>
      <w:lvlText w:val=""/>
      <w:lvlJc w:val="left"/>
      <w:pPr>
        <w:tabs>
          <w:tab w:val="num" w:pos="2160"/>
        </w:tabs>
        <w:ind w:left="2160" w:hanging="360"/>
      </w:pPr>
      <w:rPr>
        <w:rFonts w:ascii="Wingdings 2" w:hAnsi="Wingdings 2" w:hint="default"/>
      </w:rPr>
    </w:lvl>
    <w:lvl w:ilvl="3" w:tplc="C2ACF174" w:tentative="1">
      <w:start w:val="1"/>
      <w:numFmt w:val="bullet"/>
      <w:lvlText w:val=""/>
      <w:lvlJc w:val="left"/>
      <w:pPr>
        <w:tabs>
          <w:tab w:val="num" w:pos="2880"/>
        </w:tabs>
        <w:ind w:left="2880" w:hanging="360"/>
      </w:pPr>
      <w:rPr>
        <w:rFonts w:ascii="Wingdings 3" w:hAnsi="Wingdings 3" w:hint="default"/>
      </w:rPr>
    </w:lvl>
    <w:lvl w:ilvl="4" w:tplc="95F2EF54" w:tentative="1">
      <w:start w:val="1"/>
      <w:numFmt w:val="bullet"/>
      <w:lvlText w:val=""/>
      <w:lvlJc w:val="left"/>
      <w:pPr>
        <w:tabs>
          <w:tab w:val="num" w:pos="3600"/>
        </w:tabs>
        <w:ind w:left="3600" w:hanging="360"/>
      </w:pPr>
      <w:rPr>
        <w:rFonts w:ascii="Wingdings 3" w:hAnsi="Wingdings 3" w:hint="default"/>
      </w:rPr>
    </w:lvl>
    <w:lvl w:ilvl="5" w:tplc="300CB936" w:tentative="1">
      <w:start w:val="1"/>
      <w:numFmt w:val="bullet"/>
      <w:lvlText w:val=""/>
      <w:lvlJc w:val="left"/>
      <w:pPr>
        <w:tabs>
          <w:tab w:val="num" w:pos="4320"/>
        </w:tabs>
        <w:ind w:left="4320" w:hanging="360"/>
      </w:pPr>
      <w:rPr>
        <w:rFonts w:ascii="Wingdings 3" w:hAnsi="Wingdings 3" w:hint="default"/>
      </w:rPr>
    </w:lvl>
    <w:lvl w:ilvl="6" w:tplc="02E683B6" w:tentative="1">
      <w:start w:val="1"/>
      <w:numFmt w:val="bullet"/>
      <w:lvlText w:val=""/>
      <w:lvlJc w:val="left"/>
      <w:pPr>
        <w:tabs>
          <w:tab w:val="num" w:pos="5040"/>
        </w:tabs>
        <w:ind w:left="5040" w:hanging="360"/>
      </w:pPr>
      <w:rPr>
        <w:rFonts w:ascii="Wingdings 3" w:hAnsi="Wingdings 3" w:hint="default"/>
      </w:rPr>
    </w:lvl>
    <w:lvl w:ilvl="7" w:tplc="8292A25C" w:tentative="1">
      <w:start w:val="1"/>
      <w:numFmt w:val="bullet"/>
      <w:lvlText w:val=""/>
      <w:lvlJc w:val="left"/>
      <w:pPr>
        <w:tabs>
          <w:tab w:val="num" w:pos="5760"/>
        </w:tabs>
        <w:ind w:left="5760" w:hanging="360"/>
      </w:pPr>
      <w:rPr>
        <w:rFonts w:ascii="Wingdings 3" w:hAnsi="Wingdings 3" w:hint="default"/>
      </w:rPr>
    </w:lvl>
    <w:lvl w:ilvl="8" w:tplc="1A4C254A"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463948CB"/>
    <w:multiLevelType w:val="hybridMultilevel"/>
    <w:tmpl w:val="A948C110"/>
    <w:lvl w:ilvl="0" w:tplc="61D82A02">
      <w:start w:val="1"/>
      <w:numFmt w:val="bullet"/>
      <w:lvlText w:val=""/>
      <w:lvlJc w:val="left"/>
      <w:pPr>
        <w:ind w:left="1140" w:hanging="360"/>
      </w:pPr>
      <w:rPr>
        <w:rFonts w:ascii="Wingdings" w:eastAsiaTheme="minorHAnsi"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48CF660F"/>
    <w:multiLevelType w:val="hybridMultilevel"/>
    <w:tmpl w:val="134CB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8EA724F"/>
    <w:multiLevelType w:val="hybridMultilevel"/>
    <w:tmpl w:val="40625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5724B5"/>
    <w:multiLevelType w:val="hybridMultilevel"/>
    <w:tmpl w:val="E612D8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AF5AD0"/>
    <w:multiLevelType w:val="hybridMultilevel"/>
    <w:tmpl w:val="81BED5A6"/>
    <w:lvl w:ilvl="0" w:tplc="57523894">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E49019C"/>
    <w:multiLevelType w:val="hybridMultilevel"/>
    <w:tmpl w:val="B79A2D70"/>
    <w:lvl w:ilvl="0" w:tplc="8556B3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8B3EC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5" w15:restartNumberingAfterBreak="0">
    <w:nsid w:val="4FF94AD0"/>
    <w:multiLevelType w:val="multilevel"/>
    <w:tmpl w:val="AE7E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1C723D"/>
    <w:multiLevelType w:val="hybridMultilevel"/>
    <w:tmpl w:val="9E9A1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2E6AAC"/>
    <w:multiLevelType w:val="hybridMultilevel"/>
    <w:tmpl w:val="23EA4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062CC1"/>
    <w:multiLevelType w:val="multilevel"/>
    <w:tmpl w:val="4EE8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9A3B7B"/>
    <w:multiLevelType w:val="hybridMultilevel"/>
    <w:tmpl w:val="15665422"/>
    <w:lvl w:ilvl="0" w:tplc="1E6679DE">
      <w:start w:val="1"/>
      <w:numFmt w:val="decimal"/>
      <w:lvlText w:val="%1."/>
      <w:lvlJc w:val="left"/>
      <w:pPr>
        <w:ind w:left="2520" w:hanging="360"/>
      </w:pPr>
      <w:rPr>
        <w:rFonts w:hint="default"/>
        <w:b w:val="0"/>
        <w:i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5D2E7187"/>
    <w:multiLevelType w:val="hybridMultilevel"/>
    <w:tmpl w:val="33C8F20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DD0C53"/>
    <w:multiLevelType w:val="hybridMultilevel"/>
    <w:tmpl w:val="1CF2C7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F8778CA"/>
    <w:multiLevelType w:val="hybridMultilevel"/>
    <w:tmpl w:val="69F0852C"/>
    <w:lvl w:ilvl="0" w:tplc="5FD03152">
      <w:start w:val="1"/>
      <w:numFmt w:val="bullet"/>
      <w:lvlText w:val=""/>
      <w:lvlJc w:val="left"/>
      <w:pPr>
        <w:tabs>
          <w:tab w:val="num" w:pos="720"/>
        </w:tabs>
        <w:ind w:left="720" w:hanging="360"/>
      </w:pPr>
      <w:rPr>
        <w:rFonts w:ascii="Wingdings 3" w:hAnsi="Wingdings 3" w:hint="default"/>
      </w:rPr>
    </w:lvl>
    <w:lvl w:ilvl="1" w:tplc="9156F4E8">
      <w:start w:val="667"/>
      <w:numFmt w:val="bullet"/>
      <w:lvlText w:val="◦"/>
      <w:lvlJc w:val="left"/>
      <w:pPr>
        <w:tabs>
          <w:tab w:val="num" w:pos="1440"/>
        </w:tabs>
        <w:ind w:left="1440" w:hanging="360"/>
      </w:pPr>
      <w:rPr>
        <w:rFonts w:ascii="Verdana" w:hAnsi="Verdana" w:hint="default"/>
      </w:rPr>
    </w:lvl>
    <w:lvl w:ilvl="2" w:tplc="24483460">
      <w:start w:val="667"/>
      <w:numFmt w:val="bullet"/>
      <w:lvlText w:val=""/>
      <w:lvlJc w:val="left"/>
      <w:pPr>
        <w:tabs>
          <w:tab w:val="num" w:pos="2160"/>
        </w:tabs>
        <w:ind w:left="2160" w:hanging="360"/>
      </w:pPr>
      <w:rPr>
        <w:rFonts w:ascii="Wingdings 2" w:hAnsi="Wingdings 2" w:hint="default"/>
      </w:rPr>
    </w:lvl>
    <w:lvl w:ilvl="3" w:tplc="9E162590" w:tentative="1">
      <w:start w:val="1"/>
      <w:numFmt w:val="bullet"/>
      <w:lvlText w:val=""/>
      <w:lvlJc w:val="left"/>
      <w:pPr>
        <w:tabs>
          <w:tab w:val="num" w:pos="2880"/>
        </w:tabs>
        <w:ind w:left="2880" w:hanging="360"/>
      </w:pPr>
      <w:rPr>
        <w:rFonts w:ascii="Wingdings 3" w:hAnsi="Wingdings 3" w:hint="default"/>
      </w:rPr>
    </w:lvl>
    <w:lvl w:ilvl="4" w:tplc="6870FDEE" w:tentative="1">
      <w:start w:val="1"/>
      <w:numFmt w:val="bullet"/>
      <w:lvlText w:val=""/>
      <w:lvlJc w:val="left"/>
      <w:pPr>
        <w:tabs>
          <w:tab w:val="num" w:pos="3600"/>
        </w:tabs>
        <w:ind w:left="3600" w:hanging="360"/>
      </w:pPr>
      <w:rPr>
        <w:rFonts w:ascii="Wingdings 3" w:hAnsi="Wingdings 3" w:hint="default"/>
      </w:rPr>
    </w:lvl>
    <w:lvl w:ilvl="5" w:tplc="301603DC" w:tentative="1">
      <w:start w:val="1"/>
      <w:numFmt w:val="bullet"/>
      <w:lvlText w:val=""/>
      <w:lvlJc w:val="left"/>
      <w:pPr>
        <w:tabs>
          <w:tab w:val="num" w:pos="4320"/>
        </w:tabs>
        <w:ind w:left="4320" w:hanging="360"/>
      </w:pPr>
      <w:rPr>
        <w:rFonts w:ascii="Wingdings 3" w:hAnsi="Wingdings 3" w:hint="default"/>
      </w:rPr>
    </w:lvl>
    <w:lvl w:ilvl="6" w:tplc="732C015C" w:tentative="1">
      <w:start w:val="1"/>
      <w:numFmt w:val="bullet"/>
      <w:lvlText w:val=""/>
      <w:lvlJc w:val="left"/>
      <w:pPr>
        <w:tabs>
          <w:tab w:val="num" w:pos="5040"/>
        </w:tabs>
        <w:ind w:left="5040" w:hanging="360"/>
      </w:pPr>
      <w:rPr>
        <w:rFonts w:ascii="Wingdings 3" w:hAnsi="Wingdings 3" w:hint="default"/>
      </w:rPr>
    </w:lvl>
    <w:lvl w:ilvl="7" w:tplc="6408E0A8" w:tentative="1">
      <w:start w:val="1"/>
      <w:numFmt w:val="bullet"/>
      <w:lvlText w:val=""/>
      <w:lvlJc w:val="left"/>
      <w:pPr>
        <w:tabs>
          <w:tab w:val="num" w:pos="5760"/>
        </w:tabs>
        <w:ind w:left="5760" w:hanging="360"/>
      </w:pPr>
      <w:rPr>
        <w:rFonts w:ascii="Wingdings 3" w:hAnsi="Wingdings 3" w:hint="default"/>
      </w:rPr>
    </w:lvl>
    <w:lvl w:ilvl="8" w:tplc="06986894" w:tentative="1">
      <w:start w:val="1"/>
      <w:numFmt w:val="bullet"/>
      <w:lvlText w:val=""/>
      <w:lvlJc w:val="left"/>
      <w:pPr>
        <w:tabs>
          <w:tab w:val="num" w:pos="6480"/>
        </w:tabs>
        <w:ind w:left="6480" w:hanging="360"/>
      </w:pPr>
      <w:rPr>
        <w:rFonts w:ascii="Wingdings 3" w:hAnsi="Wingdings 3" w:hint="default"/>
      </w:rPr>
    </w:lvl>
  </w:abstractNum>
  <w:abstractNum w:abstractNumId="43" w15:restartNumberingAfterBreak="0">
    <w:nsid w:val="62563E2E"/>
    <w:multiLevelType w:val="hybridMultilevel"/>
    <w:tmpl w:val="48F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E36C74"/>
    <w:multiLevelType w:val="hybridMultilevel"/>
    <w:tmpl w:val="DE54C58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570545A"/>
    <w:multiLevelType w:val="hybridMultilevel"/>
    <w:tmpl w:val="9E4446F2"/>
    <w:lvl w:ilvl="0" w:tplc="E0BABCD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071ACD"/>
    <w:multiLevelType w:val="hybridMultilevel"/>
    <w:tmpl w:val="DD48982C"/>
    <w:lvl w:ilvl="0" w:tplc="575238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EF3936"/>
    <w:multiLevelType w:val="multilevel"/>
    <w:tmpl w:val="3B7EC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B101D4A"/>
    <w:multiLevelType w:val="hybridMultilevel"/>
    <w:tmpl w:val="99061BE0"/>
    <w:lvl w:ilvl="0" w:tplc="F0244784">
      <w:start w:val="1"/>
      <w:numFmt w:val="decimal"/>
      <w:lvlText w:val="%1."/>
      <w:lvlJc w:val="left"/>
      <w:pPr>
        <w:ind w:left="720" w:hanging="360"/>
      </w:pPr>
      <w:rPr>
        <w:rFonts w:hint="default"/>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CC3C22"/>
    <w:multiLevelType w:val="hybridMultilevel"/>
    <w:tmpl w:val="218E94A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D35D68"/>
    <w:multiLevelType w:val="hybridMultilevel"/>
    <w:tmpl w:val="36E42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4601E5"/>
    <w:multiLevelType w:val="hybridMultilevel"/>
    <w:tmpl w:val="6E68FED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460C80"/>
    <w:multiLevelType w:val="hybridMultilevel"/>
    <w:tmpl w:val="82CA01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5843BD"/>
    <w:multiLevelType w:val="hybridMultilevel"/>
    <w:tmpl w:val="02DC10E0"/>
    <w:lvl w:ilvl="0" w:tplc="7E8E6BB2">
      <w:start w:val="1"/>
      <w:numFmt w:val="decimal"/>
      <w:lvlText w:val="%1."/>
      <w:lvlJc w:val="left"/>
      <w:pPr>
        <w:ind w:left="360" w:hanging="360"/>
      </w:pPr>
      <w:rPr>
        <w:rFonts w:hint="default"/>
        <w:b w:val="0"/>
        <w:i w:val="0"/>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1C55B33"/>
    <w:multiLevelType w:val="multilevel"/>
    <w:tmpl w:val="F534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2F575CF"/>
    <w:multiLevelType w:val="hybridMultilevel"/>
    <w:tmpl w:val="9304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6B4D54"/>
    <w:multiLevelType w:val="hybridMultilevel"/>
    <w:tmpl w:val="C2026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0E48DA"/>
    <w:multiLevelType w:val="hybridMultilevel"/>
    <w:tmpl w:val="36F0E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7C1EAE"/>
    <w:multiLevelType w:val="hybridMultilevel"/>
    <w:tmpl w:val="5A24A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53"/>
  </w:num>
  <w:num w:numId="3">
    <w:abstractNumId w:val="21"/>
  </w:num>
  <w:num w:numId="4">
    <w:abstractNumId w:val="49"/>
  </w:num>
  <w:num w:numId="5">
    <w:abstractNumId w:val="28"/>
  </w:num>
  <w:num w:numId="6">
    <w:abstractNumId w:val="32"/>
  </w:num>
  <w:num w:numId="7">
    <w:abstractNumId w:val="3"/>
  </w:num>
  <w:num w:numId="8">
    <w:abstractNumId w:val="18"/>
  </w:num>
  <w:num w:numId="9">
    <w:abstractNumId w:val="47"/>
  </w:num>
  <w:num w:numId="10">
    <w:abstractNumId w:val="15"/>
  </w:num>
  <w:num w:numId="11">
    <w:abstractNumId w:val="12"/>
  </w:num>
  <w:num w:numId="12">
    <w:abstractNumId w:val="14"/>
  </w:num>
  <w:num w:numId="13">
    <w:abstractNumId w:val="39"/>
  </w:num>
  <w:num w:numId="14">
    <w:abstractNumId w:val="17"/>
  </w:num>
  <w:num w:numId="15">
    <w:abstractNumId w:val="45"/>
  </w:num>
  <w:num w:numId="16">
    <w:abstractNumId w:val="33"/>
  </w:num>
  <w:num w:numId="17">
    <w:abstractNumId w:val="50"/>
  </w:num>
  <w:num w:numId="18">
    <w:abstractNumId w:val="43"/>
  </w:num>
  <w:num w:numId="19">
    <w:abstractNumId w:val="58"/>
  </w:num>
  <w:num w:numId="20">
    <w:abstractNumId w:val="34"/>
  </w:num>
  <w:num w:numId="21">
    <w:abstractNumId w:val="11"/>
  </w:num>
  <w:num w:numId="22">
    <w:abstractNumId w:val="23"/>
  </w:num>
  <w:num w:numId="23">
    <w:abstractNumId w:val="7"/>
  </w:num>
  <w:num w:numId="24">
    <w:abstractNumId w:val="9"/>
  </w:num>
  <w:num w:numId="25">
    <w:abstractNumId w:val="20"/>
  </w:num>
  <w:num w:numId="26">
    <w:abstractNumId w:val="5"/>
  </w:num>
  <w:num w:numId="27">
    <w:abstractNumId w:val="5"/>
    <w:lvlOverride w:ilvl="1">
      <w:lvl w:ilvl="1">
        <w:numFmt w:val="bullet"/>
        <w:lvlText w:val=""/>
        <w:lvlJc w:val="left"/>
        <w:pPr>
          <w:tabs>
            <w:tab w:val="num" w:pos="1440"/>
          </w:tabs>
          <w:ind w:left="1440" w:hanging="360"/>
        </w:pPr>
        <w:rPr>
          <w:rFonts w:ascii="Symbol" w:hAnsi="Symbol" w:hint="default"/>
          <w:sz w:val="20"/>
        </w:rPr>
      </w:lvl>
    </w:lvlOverride>
  </w:num>
  <w:num w:numId="28">
    <w:abstractNumId w:val="6"/>
    <w:lvlOverride w:ilvl="1">
      <w:lvl w:ilvl="1">
        <w:numFmt w:val="bullet"/>
        <w:lvlText w:val=""/>
        <w:lvlJc w:val="left"/>
        <w:pPr>
          <w:tabs>
            <w:tab w:val="num" w:pos="1440"/>
          </w:tabs>
          <w:ind w:left="1440" w:hanging="360"/>
        </w:pPr>
        <w:rPr>
          <w:rFonts w:ascii="Symbol" w:hAnsi="Symbol" w:hint="default"/>
          <w:sz w:val="20"/>
        </w:rPr>
      </w:lvl>
    </w:lvlOverride>
  </w:num>
  <w:num w:numId="29">
    <w:abstractNumId w:val="38"/>
  </w:num>
  <w:num w:numId="30">
    <w:abstractNumId w:val="35"/>
  </w:num>
  <w:num w:numId="31">
    <w:abstractNumId w:val="54"/>
  </w:num>
  <w:num w:numId="32">
    <w:abstractNumId w:val="42"/>
  </w:num>
  <w:num w:numId="33">
    <w:abstractNumId w:val="27"/>
  </w:num>
  <w:num w:numId="34">
    <w:abstractNumId w:val="2"/>
  </w:num>
  <w:num w:numId="35">
    <w:abstractNumId w:val="19"/>
  </w:num>
  <w:num w:numId="36">
    <w:abstractNumId w:val="46"/>
  </w:num>
  <w:num w:numId="37">
    <w:abstractNumId w:val="4"/>
  </w:num>
  <w:num w:numId="38">
    <w:abstractNumId w:val="22"/>
  </w:num>
  <w:num w:numId="39">
    <w:abstractNumId w:val="16"/>
  </w:num>
  <w:num w:numId="40">
    <w:abstractNumId w:val="1"/>
  </w:num>
  <w:num w:numId="41">
    <w:abstractNumId w:val="26"/>
  </w:num>
  <w:num w:numId="42">
    <w:abstractNumId w:val="25"/>
  </w:num>
  <w:num w:numId="43">
    <w:abstractNumId w:val="10"/>
  </w:num>
  <w:num w:numId="44">
    <w:abstractNumId w:val="31"/>
  </w:num>
  <w:num w:numId="45">
    <w:abstractNumId w:val="29"/>
  </w:num>
  <w:num w:numId="46">
    <w:abstractNumId w:val="55"/>
  </w:num>
  <w:num w:numId="47">
    <w:abstractNumId w:val="40"/>
  </w:num>
  <w:num w:numId="48">
    <w:abstractNumId w:val="51"/>
  </w:num>
  <w:num w:numId="49">
    <w:abstractNumId w:val="52"/>
  </w:num>
  <w:num w:numId="50">
    <w:abstractNumId w:val="8"/>
  </w:num>
  <w:num w:numId="51">
    <w:abstractNumId w:val="41"/>
  </w:num>
  <w:num w:numId="52">
    <w:abstractNumId w:val="13"/>
  </w:num>
  <w:num w:numId="53">
    <w:abstractNumId w:val="37"/>
  </w:num>
  <w:num w:numId="54">
    <w:abstractNumId w:val="56"/>
  </w:num>
  <w:num w:numId="55">
    <w:abstractNumId w:val="0"/>
  </w:num>
  <w:num w:numId="56">
    <w:abstractNumId w:val="36"/>
  </w:num>
  <w:num w:numId="57">
    <w:abstractNumId w:val="44"/>
  </w:num>
  <w:num w:numId="58">
    <w:abstractNumId w:val="30"/>
  </w:num>
  <w:num w:numId="59">
    <w:abstractNumId w:val="57"/>
  </w:num>
  <w:num w:numId="60">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75"/>
    <w:rsid w:val="000014F6"/>
    <w:rsid w:val="0000154E"/>
    <w:rsid w:val="000019B3"/>
    <w:rsid w:val="00005C12"/>
    <w:rsid w:val="00006225"/>
    <w:rsid w:val="00013166"/>
    <w:rsid w:val="00015679"/>
    <w:rsid w:val="00017CB2"/>
    <w:rsid w:val="00021F12"/>
    <w:rsid w:val="00022D56"/>
    <w:rsid w:val="000235E5"/>
    <w:rsid w:val="0002766E"/>
    <w:rsid w:val="000278CA"/>
    <w:rsid w:val="0003407F"/>
    <w:rsid w:val="00034A0C"/>
    <w:rsid w:val="0003540E"/>
    <w:rsid w:val="00036061"/>
    <w:rsid w:val="000411BB"/>
    <w:rsid w:val="00043F83"/>
    <w:rsid w:val="0004418A"/>
    <w:rsid w:val="00045BBF"/>
    <w:rsid w:val="00046F18"/>
    <w:rsid w:val="00047649"/>
    <w:rsid w:val="00047991"/>
    <w:rsid w:val="00051892"/>
    <w:rsid w:val="00061D0A"/>
    <w:rsid w:val="00063005"/>
    <w:rsid w:val="00065BF4"/>
    <w:rsid w:val="00067D17"/>
    <w:rsid w:val="000703D2"/>
    <w:rsid w:val="00073CEC"/>
    <w:rsid w:val="00073FCC"/>
    <w:rsid w:val="00075ABF"/>
    <w:rsid w:val="00076DFD"/>
    <w:rsid w:val="00077182"/>
    <w:rsid w:val="00077859"/>
    <w:rsid w:val="00080A6B"/>
    <w:rsid w:val="00081592"/>
    <w:rsid w:val="00090329"/>
    <w:rsid w:val="00091CF0"/>
    <w:rsid w:val="00092921"/>
    <w:rsid w:val="00092E95"/>
    <w:rsid w:val="00095FA0"/>
    <w:rsid w:val="0009620D"/>
    <w:rsid w:val="00096C83"/>
    <w:rsid w:val="000A053E"/>
    <w:rsid w:val="000A0961"/>
    <w:rsid w:val="000A1272"/>
    <w:rsid w:val="000A2066"/>
    <w:rsid w:val="000A2FAF"/>
    <w:rsid w:val="000B0374"/>
    <w:rsid w:val="000B2899"/>
    <w:rsid w:val="000B33E7"/>
    <w:rsid w:val="000C0B5F"/>
    <w:rsid w:val="000C1595"/>
    <w:rsid w:val="000C1ED9"/>
    <w:rsid w:val="000C26F3"/>
    <w:rsid w:val="000C3907"/>
    <w:rsid w:val="000C3D90"/>
    <w:rsid w:val="000C4D85"/>
    <w:rsid w:val="000C4F31"/>
    <w:rsid w:val="000C6DAC"/>
    <w:rsid w:val="000D10D5"/>
    <w:rsid w:val="000D4443"/>
    <w:rsid w:val="000D578C"/>
    <w:rsid w:val="000E2C0B"/>
    <w:rsid w:val="000E2C58"/>
    <w:rsid w:val="000E334D"/>
    <w:rsid w:val="000E489F"/>
    <w:rsid w:val="000E56A6"/>
    <w:rsid w:val="000F23D4"/>
    <w:rsid w:val="000F3831"/>
    <w:rsid w:val="000F3BE8"/>
    <w:rsid w:val="000F49C9"/>
    <w:rsid w:val="000F6CEC"/>
    <w:rsid w:val="000F75F2"/>
    <w:rsid w:val="000F75F3"/>
    <w:rsid w:val="0010228C"/>
    <w:rsid w:val="00103AED"/>
    <w:rsid w:val="0010479B"/>
    <w:rsid w:val="00104CAD"/>
    <w:rsid w:val="0011019C"/>
    <w:rsid w:val="00111FD4"/>
    <w:rsid w:val="00112115"/>
    <w:rsid w:val="00112C5D"/>
    <w:rsid w:val="00112C79"/>
    <w:rsid w:val="00116C07"/>
    <w:rsid w:val="00117396"/>
    <w:rsid w:val="00127AD7"/>
    <w:rsid w:val="0013242C"/>
    <w:rsid w:val="00132553"/>
    <w:rsid w:val="00132700"/>
    <w:rsid w:val="00132BA4"/>
    <w:rsid w:val="00134F1A"/>
    <w:rsid w:val="00137DE8"/>
    <w:rsid w:val="001424D2"/>
    <w:rsid w:val="00142F79"/>
    <w:rsid w:val="001447EA"/>
    <w:rsid w:val="001474D0"/>
    <w:rsid w:val="00153B08"/>
    <w:rsid w:val="00156FB0"/>
    <w:rsid w:val="00161987"/>
    <w:rsid w:val="00161A07"/>
    <w:rsid w:val="00161FE0"/>
    <w:rsid w:val="00163C6D"/>
    <w:rsid w:val="0016640F"/>
    <w:rsid w:val="00166AD3"/>
    <w:rsid w:val="00166D50"/>
    <w:rsid w:val="00172EB8"/>
    <w:rsid w:val="001738B9"/>
    <w:rsid w:val="0017690C"/>
    <w:rsid w:val="00176A52"/>
    <w:rsid w:val="00177462"/>
    <w:rsid w:val="00180176"/>
    <w:rsid w:val="00181561"/>
    <w:rsid w:val="0018558B"/>
    <w:rsid w:val="00185720"/>
    <w:rsid w:val="0018668D"/>
    <w:rsid w:val="00187119"/>
    <w:rsid w:val="001906B2"/>
    <w:rsid w:val="001918AF"/>
    <w:rsid w:val="001923C9"/>
    <w:rsid w:val="00192891"/>
    <w:rsid w:val="00193473"/>
    <w:rsid w:val="0019598B"/>
    <w:rsid w:val="00196D15"/>
    <w:rsid w:val="001A2261"/>
    <w:rsid w:val="001A32ED"/>
    <w:rsid w:val="001A4551"/>
    <w:rsid w:val="001A4DB2"/>
    <w:rsid w:val="001A5565"/>
    <w:rsid w:val="001A678B"/>
    <w:rsid w:val="001A6A3C"/>
    <w:rsid w:val="001B0D38"/>
    <w:rsid w:val="001B2204"/>
    <w:rsid w:val="001B600A"/>
    <w:rsid w:val="001C02FD"/>
    <w:rsid w:val="001C17F0"/>
    <w:rsid w:val="001C1B64"/>
    <w:rsid w:val="001C254B"/>
    <w:rsid w:val="001C2F6D"/>
    <w:rsid w:val="001C57BD"/>
    <w:rsid w:val="001D3BAE"/>
    <w:rsid w:val="001D55D4"/>
    <w:rsid w:val="001E14BB"/>
    <w:rsid w:val="001E5697"/>
    <w:rsid w:val="001E7C8D"/>
    <w:rsid w:val="001F6A1A"/>
    <w:rsid w:val="001F6AF7"/>
    <w:rsid w:val="00203676"/>
    <w:rsid w:val="00203C72"/>
    <w:rsid w:val="002064C0"/>
    <w:rsid w:val="00211A92"/>
    <w:rsid w:val="00211E20"/>
    <w:rsid w:val="00211F14"/>
    <w:rsid w:val="0021584A"/>
    <w:rsid w:val="0021626B"/>
    <w:rsid w:val="00224E0F"/>
    <w:rsid w:val="00227D68"/>
    <w:rsid w:val="002332DC"/>
    <w:rsid w:val="0023436B"/>
    <w:rsid w:val="00234AEB"/>
    <w:rsid w:val="00234E6D"/>
    <w:rsid w:val="00236FD5"/>
    <w:rsid w:val="002414BD"/>
    <w:rsid w:val="00242048"/>
    <w:rsid w:val="00242232"/>
    <w:rsid w:val="00243EB0"/>
    <w:rsid w:val="00244E7A"/>
    <w:rsid w:val="00250C3C"/>
    <w:rsid w:val="00250D42"/>
    <w:rsid w:val="00250DBB"/>
    <w:rsid w:val="00252A67"/>
    <w:rsid w:val="00253420"/>
    <w:rsid w:val="00253C33"/>
    <w:rsid w:val="00253F9A"/>
    <w:rsid w:val="002552A4"/>
    <w:rsid w:val="00256125"/>
    <w:rsid w:val="00256825"/>
    <w:rsid w:val="00256F1F"/>
    <w:rsid w:val="00261598"/>
    <w:rsid w:val="00263BE4"/>
    <w:rsid w:val="0027137E"/>
    <w:rsid w:val="00273317"/>
    <w:rsid w:val="00276C2E"/>
    <w:rsid w:val="0027780A"/>
    <w:rsid w:val="002806E5"/>
    <w:rsid w:val="00280BD2"/>
    <w:rsid w:val="0029031F"/>
    <w:rsid w:val="002903FC"/>
    <w:rsid w:val="0029231F"/>
    <w:rsid w:val="00297550"/>
    <w:rsid w:val="002A2565"/>
    <w:rsid w:val="002A25AD"/>
    <w:rsid w:val="002A33B6"/>
    <w:rsid w:val="002A40D8"/>
    <w:rsid w:val="002A64D0"/>
    <w:rsid w:val="002A674E"/>
    <w:rsid w:val="002B165F"/>
    <w:rsid w:val="002B38FA"/>
    <w:rsid w:val="002B3928"/>
    <w:rsid w:val="002B4504"/>
    <w:rsid w:val="002B4526"/>
    <w:rsid w:val="002C2404"/>
    <w:rsid w:val="002C3F39"/>
    <w:rsid w:val="002C61A3"/>
    <w:rsid w:val="002C65E3"/>
    <w:rsid w:val="002D0429"/>
    <w:rsid w:val="002D6015"/>
    <w:rsid w:val="002E14A1"/>
    <w:rsid w:val="002E2C5A"/>
    <w:rsid w:val="002F5092"/>
    <w:rsid w:val="003015FD"/>
    <w:rsid w:val="00301AEA"/>
    <w:rsid w:val="00302A8C"/>
    <w:rsid w:val="003044B1"/>
    <w:rsid w:val="00305A89"/>
    <w:rsid w:val="00306B77"/>
    <w:rsid w:val="00315E02"/>
    <w:rsid w:val="003201DB"/>
    <w:rsid w:val="0032593F"/>
    <w:rsid w:val="00326B02"/>
    <w:rsid w:val="00330581"/>
    <w:rsid w:val="00332A8A"/>
    <w:rsid w:val="00333AC5"/>
    <w:rsid w:val="00333B97"/>
    <w:rsid w:val="0033497C"/>
    <w:rsid w:val="0033586B"/>
    <w:rsid w:val="003365CF"/>
    <w:rsid w:val="00340A78"/>
    <w:rsid w:val="0034171D"/>
    <w:rsid w:val="00343B18"/>
    <w:rsid w:val="00343BB8"/>
    <w:rsid w:val="00344C17"/>
    <w:rsid w:val="0034658D"/>
    <w:rsid w:val="0034687F"/>
    <w:rsid w:val="00350388"/>
    <w:rsid w:val="0035100C"/>
    <w:rsid w:val="00351E4C"/>
    <w:rsid w:val="0035413F"/>
    <w:rsid w:val="00357A18"/>
    <w:rsid w:val="00361B84"/>
    <w:rsid w:val="00362484"/>
    <w:rsid w:val="00364993"/>
    <w:rsid w:val="003712C3"/>
    <w:rsid w:val="0037197B"/>
    <w:rsid w:val="00373626"/>
    <w:rsid w:val="00373DEC"/>
    <w:rsid w:val="00374D0C"/>
    <w:rsid w:val="00376E4F"/>
    <w:rsid w:val="00377819"/>
    <w:rsid w:val="00377C01"/>
    <w:rsid w:val="003829B2"/>
    <w:rsid w:val="00383AF2"/>
    <w:rsid w:val="003844B7"/>
    <w:rsid w:val="00385D7D"/>
    <w:rsid w:val="00390EE2"/>
    <w:rsid w:val="00391653"/>
    <w:rsid w:val="003922A2"/>
    <w:rsid w:val="003936C8"/>
    <w:rsid w:val="00394E71"/>
    <w:rsid w:val="003962D9"/>
    <w:rsid w:val="0039709C"/>
    <w:rsid w:val="00397926"/>
    <w:rsid w:val="003A0CC9"/>
    <w:rsid w:val="003A36C0"/>
    <w:rsid w:val="003A3F6B"/>
    <w:rsid w:val="003A40F0"/>
    <w:rsid w:val="003A6C56"/>
    <w:rsid w:val="003A7E36"/>
    <w:rsid w:val="003B1C3D"/>
    <w:rsid w:val="003B45F7"/>
    <w:rsid w:val="003B71F7"/>
    <w:rsid w:val="003C48D6"/>
    <w:rsid w:val="003D0E03"/>
    <w:rsid w:val="003D4B0E"/>
    <w:rsid w:val="003D5E70"/>
    <w:rsid w:val="003D6B76"/>
    <w:rsid w:val="003D75A8"/>
    <w:rsid w:val="003E62C4"/>
    <w:rsid w:val="003E6CD0"/>
    <w:rsid w:val="003E7C55"/>
    <w:rsid w:val="003F1434"/>
    <w:rsid w:val="003F15AA"/>
    <w:rsid w:val="003F3B85"/>
    <w:rsid w:val="003F4716"/>
    <w:rsid w:val="003F4927"/>
    <w:rsid w:val="003F4FFB"/>
    <w:rsid w:val="003F51D2"/>
    <w:rsid w:val="003F5242"/>
    <w:rsid w:val="003F65A9"/>
    <w:rsid w:val="003F7DBA"/>
    <w:rsid w:val="00401BC7"/>
    <w:rsid w:val="004027E2"/>
    <w:rsid w:val="0040292C"/>
    <w:rsid w:val="00402C4F"/>
    <w:rsid w:val="00404DF7"/>
    <w:rsid w:val="004060E5"/>
    <w:rsid w:val="00407AEC"/>
    <w:rsid w:val="00407CD6"/>
    <w:rsid w:val="004102E7"/>
    <w:rsid w:val="00412B57"/>
    <w:rsid w:val="00413081"/>
    <w:rsid w:val="00413794"/>
    <w:rsid w:val="00414077"/>
    <w:rsid w:val="004154BC"/>
    <w:rsid w:val="00416F30"/>
    <w:rsid w:val="00421730"/>
    <w:rsid w:val="00430A89"/>
    <w:rsid w:val="0043362D"/>
    <w:rsid w:val="00434833"/>
    <w:rsid w:val="00437E04"/>
    <w:rsid w:val="004430DF"/>
    <w:rsid w:val="00443664"/>
    <w:rsid w:val="00443EFE"/>
    <w:rsid w:val="00444004"/>
    <w:rsid w:val="00444BC8"/>
    <w:rsid w:val="00445662"/>
    <w:rsid w:val="004469E6"/>
    <w:rsid w:val="00447305"/>
    <w:rsid w:val="00447C26"/>
    <w:rsid w:val="00450709"/>
    <w:rsid w:val="0045308B"/>
    <w:rsid w:val="004569CD"/>
    <w:rsid w:val="004610FF"/>
    <w:rsid w:val="00461642"/>
    <w:rsid w:val="004654EC"/>
    <w:rsid w:val="00467066"/>
    <w:rsid w:val="0047367A"/>
    <w:rsid w:val="00474728"/>
    <w:rsid w:val="00480FA3"/>
    <w:rsid w:val="0048164B"/>
    <w:rsid w:val="0048297C"/>
    <w:rsid w:val="00482F42"/>
    <w:rsid w:val="004853F3"/>
    <w:rsid w:val="00493945"/>
    <w:rsid w:val="00493A87"/>
    <w:rsid w:val="004A01D3"/>
    <w:rsid w:val="004A449D"/>
    <w:rsid w:val="004A5E2A"/>
    <w:rsid w:val="004A62A6"/>
    <w:rsid w:val="004A6D84"/>
    <w:rsid w:val="004A7E5A"/>
    <w:rsid w:val="004B27E4"/>
    <w:rsid w:val="004B2B0D"/>
    <w:rsid w:val="004B41C7"/>
    <w:rsid w:val="004C5459"/>
    <w:rsid w:val="004D140E"/>
    <w:rsid w:val="004D3138"/>
    <w:rsid w:val="004D44FC"/>
    <w:rsid w:val="004E2731"/>
    <w:rsid w:val="004E64F2"/>
    <w:rsid w:val="004E78F1"/>
    <w:rsid w:val="004E7C08"/>
    <w:rsid w:val="004F06D0"/>
    <w:rsid w:val="004F4FE3"/>
    <w:rsid w:val="004F69E9"/>
    <w:rsid w:val="004F6D2D"/>
    <w:rsid w:val="004F70B5"/>
    <w:rsid w:val="00501DC5"/>
    <w:rsid w:val="005034B9"/>
    <w:rsid w:val="00503E8B"/>
    <w:rsid w:val="005042CF"/>
    <w:rsid w:val="00506E26"/>
    <w:rsid w:val="00507CA7"/>
    <w:rsid w:val="00510DDF"/>
    <w:rsid w:val="00512284"/>
    <w:rsid w:val="00512399"/>
    <w:rsid w:val="00512BB0"/>
    <w:rsid w:val="005140C6"/>
    <w:rsid w:val="005144C5"/>
    <w:rsid w:val="00516E14"/>
    <w:rsid w:val="00517212"/>
    <w:rsid w:val="005217D2"/>
    <w:rsid w:val="005224B4"/>
    <w:rsid w:val="005245A1"/>
    <w:rsid w:val="00526FDE"/>
    <w:rsid w:val="00527280"/>
    <w:rsid w:val="00530FD1"/>
    <w:rsid w:val="005311A5"/>
    <w:rsid w:val="0053160D"/>
    <w:rsid w:val="005329DE"/>
    <w:rsid w:val="00532B74"/>
    <w:rsid w:val="00535475"/>
    <w:rsid w:val="00535685"/>
    <w:rsid w:val="0053790A"/>
    <w:rsid w:val="00540957"/>
    <w:rsid w:val="00540BE7"/>
    <w:rsid w:val="005419BD"/>
    <w:rsid w:val="00541DC9"/>
    <w:rsid w:val="00543171"/>
    <w:rsid w:val="00545E1E"/>
    <w:rsid w:val="00546176"/>
    <w:rsid w:val="00550E9D"/>
    <w:rsid w:val="00551342"/>
    <w:rsid w:val="00551F79"/>
    <w:rsid w:val="005524D3"/>
    <w:rsid w:val="005547B3"/>
    <w:rsid w:val="005553E7"/>
    <w:rsid w:val="00555FDF"/>
    <w:rsid w:val="005571DE"/>
    <w:rsid w:val="00557D24"/>
    <w:rsid w:val="00565027"/>
    <w:rsid w:val="0057047F"/>
    <w:rsid w:val="00571378"/>
    <w:rsid w:val="005841FA"/>
    <w:rsid w:val="005853DF"/>
    <w:rsid w:val="00586BB9"/>
    <w:rsid w:val="0059205E"/>
    <w:rsid w:val="00593C89"/>
    <w:rsid w:val="00593D93"/>
    <w:rsid w:val="00594B71"/>
    <w:rsid w:val="00594C34"/>
    <w:rsid w:val="00597029"/>
    <w:rsid w:val="005A02A8"/>
    <w:rsid w:val="005A1CF6"/>
    <w:rsid w:val="005A2E16"/>
    <w:rsid w:val="005A5B4F"/>
    <w:rsid w:val="005A5D14"/>
    <w:rsid w:val="005A6E50"/>
    <w:rsid w:val="005B3E40"/>
    <w:rsid w:val="005B4F16"/>
    <w:rsid w:val="005B6B4E"/>
    <w:rsid w:val="005B6C48"/>
    <w:rsid w:val="005B7E53"/>
    <w:rsid w:val="005C0BA8"/>
    <w:rsid w:val="005C796A"/>
    <w:rsid w:val="005D233E"/>
    <w:rsid w:val="005D2B8C"/>
    <w:rsid w:val="005E24FE"/>
    <w:rsid w:val="005E3959"/>
    <w:rsid w:val="005E4321"/>
    <w:rsid w:val="005E7799"/>
    <w:rsid w:val="005F1166"/>
    <w:rsid w:val="005F244A"/>
    <w:rsid w:val="005F6297"/>
    <w:rsid w:val="005F6D1E"/>
    <w:rsid w:val="00602C89"/>
    <w:rsid w:val="00602CDB"/>
    <w:rsid w:val="00602DF0"/>
    <w:rsid w:val="006049F1"/>
    <w:rsid w:val="0060543C"/>
    <w:rsid w:val="00605DD4"/>
    <w:rsid w:val="006107E9"/>
    <w:rsid w:val="00610FB4"/>
    <w:rsid w:val="0062084D"/>
    <w:rsid w:val="00621E21"/>
    <w:rsid w:val="00624B76"/>
    <w:rsid w:val="006265C2"/>
    <w:rsid w:val="00626821"/>
    <w:rsid w:val="00630B19"/>
    <w:rsid w:val="0063109D"/>
    <w:rsid w:val="00633BA8"/>
    <w:rsid w:val="00635BE6"/>
    <w:rsid w:val="00636F99"/>
    <w:rsid w:val="006400A6"/>
    <w:rsid w:val="006455D5"/>
    <w:rsid w:val="00651EB9"/>
    <w:rsid w:val="00654CE2"/>
    <w:rsid w:val="00654DA9"/>
    <w:rsid w:val="00655BEA"/>
    <w:rsid w:val="006571A4"/>
    <w:rsid w:val="00660F76"/>
    <w:rsid w:val="00661796"/>
    <w:rsid w:val="00663140"/>
    <w:rsid w:val="00663B60"/>
    <w:rsid w:val="0066525D"/>
    <w:rsid w:val="00671E0F"/>
    <w:rsid w:val="00672498"/>
    <w:rsid w:val="00674FCB"/>
    <w:rsid w:val="00680B69"/>
    <w:rsid w:val="00684F75"/>
    <w:rsid w:val="00686E4D"/>
    <w:rsid w:val="0069105A"/>
    <w:rsid w:val="006A123F"/>
    <w:rsid w:val="006A38D4"/>
    <w:rsid w:val="006A4389"/>
    <w:rsid w:val="006A509B"/>
    <w:rsid w:val="006B0460"/>
    <w:rsid w:val="006B4B35"/>
    <w:rsid w:val="006B4D9B"/>
    <w:rsid w:val="006B5CA1"/>
    <w:rsid w:val="006C1429"/>
    <w:rsid w:val="006C16B6"/>
    <w:rsid w:val="006C1923"/>
    <w:rsid w:val="006C3019"/>
    <w:rsid w:val="006D3BC2"/>
    <w:rsid w:val="006D4619"/>
    <w:rsid w:val="006D60FC"/>
    <w:rsid w:val="006E0A49"/>
    <w:rsid w:val="006E2C1E"/>
    <w:rsid w:val="006E3563"/>
    <w:rsid w:val="006F10E8"/>
    <w:rsid w:val="006F1942"/>
    <w:rsid w:val="006F194C"/>
    <w:rsid w:val="006F2799"/>
    <w:rsid w:val="006F29BF"/>
    <w:rsid w:val="006F2C63"/>
    <w:rsid w:val="006F4035"/>
    <w:rsid w:val="006F49E1"/>
    <w:rsid w:val="006F5C19"/>
    <w:rsid w:val="006F66F4"/>
    <w:rsid w:val="00700E77"/>
    <w:rsid w:val="0070235D"/>
    <w:rsid w:val="00702B2E"/>
    <w:rsid w:val="00702CD0"/>
    <w:rsid w:val="00703B21"/>
    <w:rsid w:val="0070484D"/>
    <w:rsid w:val="00711021"/>
    <w:rsid w:val="007111E6"/>
    <w:rsid w:val="00711D7F"/>
    <w:rsid w:val="00712FFD"/>
    <w:rsid w:val="00716856"/>
    <w:rsid w:val="00717B23"/>
    <w:rsid w:val="00727138"/>
    <w:rsid w:val="007308C3"/>
    <w:rsid w:val="00732F55"/>
    <w:rsid w:val="007350BE"/>
    <w:rsid w:val="00740D3E"/>
    <w:rsid w:val="00741842"/>
    <w:rsid w:val="007444CE"/>
    <w:rsid w:val="007447D1"/>
    <w:rsid w:val="0074592C"/>
    <w:rsid w:val="00750D40"/>
    <w:rsid w:val="007522AB"/>
    <w:rsid w:val="00753371"/>
    <w:rsid w:val="00757668"/>
    <w:rsid w:val="00760327"/>
    <w:rsid w:val="00762EA4"/>
    <w:rsid w:val="00763D36"/>
    <w:rsid w:val="00763ED0"/>
    <w:rsid w:val="00770A4A"/>
    <w:rsid w:val="00770B96"/>
    <w:rsid w:val="007748CC"/>
    <w:rsid w:val="0077743A"/>
    <w:rsid w:val="0078072A"/>
    <w:rsid w:val="00781BA2"/>
    <w:rsid w:val="00784B99"/>
    <w:rsid w:val="00786EBA"/>
    <w:rsid w:val="00790F04"/>
    <w:rsid w:val="00793C81"/>
    <w:rsid w:val="00797AA0"/>
    <w:rsid w:val="007A0FD9"/>
    <w:rsid w:val="007A27C1"/>
    <w:rsid w:val="007A577A"/>
    <w:rsid w:val="007B1714"/>
    <w:rsid w:val="007B1E6C"/>
    <w:rsid w:val="007B4681"/>
    <w:rsid w:val="007B4DEF"/>
    <w:rsid w:val="007B55FF"/>
    <w:rsid w:val="007B6FEE"/>
    <w:rsid w:val="007C386D"/>
    <w:rsid w:val="007C3ACF"/>
    <w:rsid w:val="007C3C2F"/>
    <w:rsid w:val="007C6139"/>
    <w:rsid w:val="007C77E0"/>
    <w:rsid w:val="007D26F7"/>
    <w:rsid w:val="007D2C87"/>
    <w:rsid w:val="007D4801"/>
    <w:rsid w:val="007D56F3"/>
    <w:rsid w:val="007D68D9"/>
    <w:rsid w:val="007E1B9C"/>
    <w:rsid w:val="007E24C9"/>
    <w:rsid w:val="007E5B21"/>
    <w:rsid w:val="007F2B5D"/>
    <w:rsid w:val="007F2C48"/>
    <w:rsid w:val="007F2CDC"/>
    <w:rsid w:val="00807C30"/>
    <w:rsid w:val="008105CC"/>
    <w:rsid w:val="00813CD7"/>
    <w:rsid w:val="00815100"/>
    <w:rsid w:val="00816C1E"/>
    <w:rsid w:val="0081715D"/>
    <w:rsid w:val="008219C1"/>
    <w:rsid w:val="00822764"/>
    <w:rsid w:val="00823FE9"/>
    <w:rsid w:val="00824B63"/>
    <w:rsid w:val="00825201"/>
    <w:rsid w:val="00827AE0"/>
    <w:rsid w:val="008302AC"/>
    <w:rsid w:val="008306BA"/>
    <w:rsid w:val="008310BE"/>
    <w:rsid w:val="008319E1"/>
    <w:rsid w:val="00833466"/>
    <w:rsid w:val="00837AE8"/>
    <w:rsid w:val="00837F8A"/>
    <w:rsid w:val="0084415E"/>
    <w:rsid w:val="00844BBE"/>
    <w:rsid w:val="0084617B"/>
    <w:rsid w:val="00850152"/>
    <w:rsid w:val="008516EA"/>
    <w:rsid w:val="00853B86"/>
    <w:rsid w:val="0085635C"/>
    <w:rsid w:val="008563C4"/>
    <w:rsid w:val="008627E9"/>
    <w:rsid w:val="008639E5"/>
    <w:rsid w:val="008669BF"/>
    <w:rsid w:val="00873EEB"/>
    <w:rsid w:val="008755D8"/>
    <w:rsid w:val="00877AEC"/>
    <w:rsid w:val="00880211"/>
    <w:rsid w:val="00884799"/>
    <w:rsid w:val="008906D0"/>
    <w:rsid w:val="00891DAF"/>
    <w:rsid w:val="0089765E"/>
    <w:rsid w:val="008A18CD"/>
    <w:rsid w:val="008A28CF"/>
    <w:rsid w:val="008A5088"/>
    <w:rsid w:val="008A75D8"/>
    <w:rsid w:val="008A79A4"/>
    <w:rsid w:val="008B0D13"/>
    <w:rsid w:val="008B0D83"/>
    <w:rsid w:val="008B1277"/>
    <w:rsid w:val="008B1F20"/>
    <w:rsid w:val="008B21D7"/>
    <w:rsid w:val="008B3718"/>
    <w:rsid w:val="008B4B4A"/>
    <w:rsid w:val="008B4FF9"/>
    <w:rsid w:val="008B5DBE"/>
    <w:rsid w:val="008B7949"/>
    <w:rsid w:val="008C26E9"/>
    <w:rsid w:val="008C2EDE"/>
    <w:rsid w:val="008C3D92"/>
    <w:rsid w:val="008D038F"/>
    <w:rsid w:val="008D1EE2"/>
    <w:rsid w:val="008D20B4"/>
    <w:rsid w:val="008D538D"/>
    <w:rsid w:val="008E11CF"/>
    <w:rsid w:val="008E1AC0"/>
    <w:rsid w:val="008E3BAA"/>
    <w:rsid w:val="008E7A61"/>
    <w:rsid w:val="008F4958"/>
    <w:rsid w:val="008F49B5"/>
    <w:rsid w:val="008F59FB"/>
    <w:rsid w:val="008F6EB7"/>
    <w:rsid w:val="00902F70"/>
    <w:rsid w:val="00903252"/>
    <w:rsid w:val="009056A0"/>
    <w:rsid w:val="0090588B"/>
    <w:rsid w:val="00906BC9"/>
    <w:rsid w:val="00910EF6"/>
    <w:rsid w:val="009220B3"/>
    <w:rsid w:val="0092460C"/>
    <w:rsid w:val="00925EA8"/>
    <w:rsid w:val="00926754"/>
    <w:rsid w:val="00927197"/>
    <w:rsid w:val="009278D5"/>
    <w:rsid w:val="00933D75"/>
    <w:rsid w:val="00935080"/>
    <w:rsid w:val="0093604F"/>
    <w:rsid w:val="00941D94"/>
    <w:rsid w:val="00942232"/>
    <w:rsid w:val="00942616"/>
    <w:rsid w:val="00943E78"/>
    <w:rsid w:val="0095188E"/>
    <w:rsid w:val="009530D0"/>
    <w:rsid w:val="009543EB"/>
    <w:rsid w:val="00954E35"/>
    <w:rsid w:val="0095552C"/>
    <w:rsid w:val="009577B2"/>
    <w:rsid w:val="009607E2"/>
    <w:rsid w:val="00962825"/>
    <w:rsid w:val="00964A63"/>
    <w:rsid w:val="0097136F"/>
    <w:rsid w:val="0097156B"/>
    <w:rsid w:val="009721E2"/>
    <w:rsid w:val="009746B0"/>
    <w:rsid w:val="009773EE"/>
    <w:rsid w:val="009776A8"/>
    <w:rsid w:val="00984F76"/>
    <w:rsid w:val="0098569C"/>
    <w:rsid w:val="00987576"/>
    <w:rsid w:val="00990180"/>
    <w:rsid w:val="00992234"/>
    <w:rsid w:val="00992418"/>
    <w:rsid w:val="00993A1A"/>
    <w:rsid w:val="00994E64"/>
    <w:rsid w:val="0099700D"/>
    <w:rsid w:val="009A0C3F"/>
    <w:rsid w:val="009A0F13"/>
    <w:rsid w:val="009A1296"/>
    <w:rsid w:val="009A2506"/>
    <w:rsid w:val="009A2E57"/>
    <w:rsid w:val="009A36F8"/>
    <w:rsid w:val="009A489C"/>
    <w:rsid w:val="009A49F5"/>
    <w:rsid w:val="009B17D2"/>
    <w:rsid w:val="009B26C0"/>
    <w:rsid w:val="009B4C71"/>
    <w:rsid w:val="009B514B"/>
    <w:rsid w:val="009C2641"/>
    <w:rsid w:val="009C4A1E"/>
    <w:rsid w:val="009C5329"/>
    <w:rsid w:val="009C5DE5"/>
    <w:rsid w:val="009C732E"/>
    <w:rsid w:val="009C77F2"/>
    <w:rsid w:val="009D05C4"/>
    <w:rsid w:val="009D05E7"/>
    <w:rsid w:val="009D157D"/>
    <w:rsid w:val="009D364E"/>
    <w:rsid w:val="009D3E7F"/>
    <w:rsid w:val="009D4178"/>
    <w:rsid w:val="009D7495"/>
    <w:rsid w:val="009D78BD"/>
    <w:rsid w:val="009E01D5"/>
    <w:rsid w:val="009E47B7"/>
    <w:rsid w:val="009E6034"/>
    <w:rsid w:val="009E7AA2"/>
    <w:rsid w:val="009F08DA"/>
    <w:rsid w:val="009F1C4E"/>
    <w:rsid w:val="00A00EE2"/>
    <w:rsid w:val="00A04DBA"/>
    <w:rsid w:val="00A07D29"/>
    <w:rsid w:val="00A11474"/>
    <w:rsid w:val="00A11E42"/>
    <w:rsid w:val="00A129B9"/>
    <w:rsid w:val="00A14763"/>
    <w:rsid w:val="00A14A09"/>
    <w:rsid w:val="00A156C7"/>
    <w:rsid w:val="00A15F70"/>
    <w:rsid w:val="00A165C1"/>
    <w:rsid w:val="00A22508"/>
    <w:rsid w:val="00A22F84"/>
    <w:rsid w:val="00A2418E"/>
    <w:rsid w:val="00A32460"/>
    <w:rsid w:val="00A3293E"/>
    <w:rsid w:val="00A3297F"/>
    <w:rsid w:val="00A34B38"/>
    <w:rsid w:val="00A3511A"/>
    <w:rsid w:val="00A35D1E"/>
    <w:rsid w:val="00A379B1"/>
    <w:rsid w:val="00A456C4"/>
    <w:rsid w:val="00A46537"/>
    <w:rsid w:val="00A575E6"/>
    <w:rsid w:val="00A60474"/>
    <w:rsid w:val="00A63C66"/>
    <w:rsid w:val="00A645C5"/>
    <w:rsid w:val="00A65C9A"/>
    <w:rsid w:val="00A67B9B"/>
    <w:rsid w:val="00A703A4"/>
    <w:rsid w:val="00A748D0"/>
    <w:rsid w:val="00A7774C"/>
    <w:rsid w:val="00A85269"/>
    <w:rsid w:val="00A863BB"/>
    <w:rsid w:val="00A918E8"/>
    <w:rsid w:val="00A91C17"/>
    <w:rsid w:val="00A93AA8"/>
    <w:rsid w:val="00AA0544"/>
    <w:rsid w:val="00AA06C7"/>
    <w:rsid w:val="00AA0F2C"/>
    <w:rsid w:val="00AA2D7D"/>
    <w:rsid w:val="00AA4F50"/>
    <w:rsid w:val="00AA56E9"/>
    <w:rsid w:val="00AA703D"/>
    <w:rsid w:val="00AB30AA"/>
    <w:rsid w:val="00AB3B94"/>
    <w:rsid w:val="00AB4E1A"/>
    <w:rsid w:val="00AB61FA"/>
    <w:rsid w:val="00AC10D9"/>
    <w:rsid w:val="00AC4511"/>
    <w:rsid w:val="00AC4BE0"/>
    <w:rsid w:val="00AC56D9"/>
    <w:rsid w:val="00AC5D0C"/>
    <w:rsid w:val="00AC603E"/>
    <w:rsid w:val="00AE0C31"/>
    <w:rsid w:val="00AE31C4"/>
    <w:rsid w:val="00AE4A0A"/>
    <w:rsid w:val="00AE55D8"/>
    <w:rsid w:val="00AE56B1"/>
    <w:rsid w:val="00AF2FFC"/>
    <w:rsid w:val="00B04D4D"/>
    <w:rsid w:val="00B063D0"/>
    <w:rsid w:val="00B06EFA"/>
    <w:rsid w:val="00B10A70"/>
    <w:rsid w:val="00B117B7"/>
    <w:rsid w:val="00B14A7C"/>
    <w:rsid w:val="00B1721E"/>
    <w:rsid w:val="00B2030F"/>
    <w:rsid w:val="00B20DCB"/>
    <w:rsid w:val="00B21D7A"/>
    <w:rsid w:val="00B222AE"/>
    <w:rsid w:val="00B22AB2"/>
    <w:rsid w:val="00B3072B"/>
    <w:rsid w:val="00B30F1C"/>
    <w:rsid w:val="00B3244F"/>
    <w:rsid w:val="00B34642"/>
    <w:rsid w:val="00B35836"/>
    <w:rsid w:val="00B36D25"/>
    <w:rsid w:val="00B404E4"/>
    <w:rsid w:val="00B40AE8"/>
    <w:rsid w:val="00B412DA"/>
    <w:rsid w:val="00B42499"/>
    <w:rsid w:val="00B4310D"/>
    <w:rsid w:val="00B506E2"/>
    <w:rsid w:val="00B513B3"/>
    <w:rsid w:val="00B5153E"/>
    <w:rsid w:val="00B547C3"/>
    <w:rsid w:val="00B642F1"/>
    <w:rsid w:val="00B64C91"/>
    <w:rsid w:val="00B708BD"/>
    <w:rsid w:val="00B717DD"/>
    <w:rsid w:val="00B72999"/>
    <w:rsid w:val="00B74E27"/>
    <w:rsid w:val="00B75148"/>
    <w:rsid w:val="00B7599D"/>
    <w:rsid w:val="00B80C78"/>
    <w:rsid w:val="00B80EE9"/>
    <w:rsid w:val="00B83E51"/>
    <w:rsid w:val="00B84D05"/>
    <w:rsid w:val="00B86810"/>
    <w:rsid w:val="00B86B4F"/>
    <w:rsid w:val="00B931B2"/>
    <w:rsid w:val="00B9593B"/>
    <w:rsid w:val="00B95F31"/>
    <w:rsid w:val="00B96571"/>
    <w:rsid w:val="00BA233F"/>
    <w:rsid w:val="00BA2519"/>
    <w:rsid w:val="00BA471A"/>
    <w:rsid w:val="00BA4B47"/>
    <w:rsid w:val="00BA64D2"/>
    <w:rsid w:val="00BA6B19"/>
    <w:rsid w:val="00BA75E3"/>
    <w:rsid w:val="00BA78C5"/>
    <w:rsid w:val="00BB37F5"/>
    <w:rsid w:val="00BB39DF"/>
    <w:rsid w:val="00BB45ED"/>
    <w:rsid w:val="00BB4C01"/>
    <w:rsid w:val="00BB4C21"/>
    <w:rsid w:val="00BB58C5"/>
    <w:rsid w:val="00BC0C2D"/>
    <w:rsid w:val="00BC0F25"/>
    <w:rsid w:val="00BC238F"/>
    <w:rsid w:val="00BC26F9"/>
    <w:rsid w:val="00BC49A3"/>
    <w:rsid w:val="00BC55FB"/>
    <w:rsid w:val="00BC6360"/>
    <w:rsid w:val="00BD0056"/>
    <w:rsid w:val="00BD0ED6"/>
    <w:rsid w:val="00BD13C8"/>
    <w:rsid w:val="00BD1F70"/>
    <w:rsid w:val="00BD4EDE"/>
    <w:rsid w:val="00BD68A6"/>
    <w:rsid w:val="00BD77C6"/>
    <w:rsid w:val="00BE114B"/>
    <w:rsid w:val="00BE4368"/>
    <w:rsid w:val="00BF0D5B"/>
    <w:rsid w:val="00BF1962"/>
    <w:rsid w:val="00BF342C"/>
    <w:rsid w:val="00BF4FFE"/>
    <w:rsid w:val="00BF7C5A"/>
    <w:rsid w:val="00C03C53"/>
    <w:rsid w:val="00C04CC5"/>
    <w:rsid w:val="00C0741C"/>
    <w:rsid w:val="00C07E00"/>
    <w:rsid w:val="00C105C8"/>
    <w:rsid w:val="00C10EEB"/>
    <w:rsid w:val="00C15C03"/>
    <w:rsid w:val="00C16056"/>
    <w:rsid w:val="00C2104D"/>
    <w:rsid w:val="00C22016"/>
    <w:rsid w:val="00C22A65"/>
    <w:rsid w:val="00C22ACB"/>
    <w:rsid w:val="00C22B76"/>
    <w:rsid w:val="00C25BDD"/>
    <w:rsid w:val="00C26C7F"/>
    <w:rsid w:val="00C31088"/>
    <w:rsid w:val="00C32CD4"/>
    <w:rsid w:val="00C3351F"/>
    <w:rsid w:val="00C37C17"/>
    <w:rsid w:val="00C40162"/>
    <w:rsid w:val="00C4018B"/>
    <w:rsid w:val="00C40822"/>
    <w:rsid w:val="00C4098C"/>
    <w:rsid w:val="00C41BB3"/>
    <w:rsid w:val="00C427A7"/>
    <w:rsid w:val="00C42AE9"/>
    <w:rsid w:val="00C44C87"/>
    <w:rsid w:val="00C4671F"/>
    <w:rsid w:val="00C468E9"/>
    <w:rsid w:val="00C5021B"/>
    <w:rsid w:val="00C522BB"/>
    <w:rsid w:val="00C52D2C"/>
    <w:rsid w:val="00C5335B"/>
    <w:rsid w:val="00C539C6"/>
    <w:rsid w:val="00C5431B"/>
    <w:rsid w:val="00C55B54"/>
    <w:rsid w:val="00C55CDF"/>
    <w:rsid w:val="00C56368"/>
    <w:rsid w:val="00C57335"/>
    <w:rsid w:val="00C574A4"/>
    <w:rsid w:val="00C60410"/>
    <w:rsid w:val="00C6246B"/>
    <w:rsid w:val="00C64B26"/>
    <w:rsid w:val="00C6627D"/>
    <w:rsid w:val="00C717E2"/>
    <w:rsid w:val="00C73B69"/>
    <w:rsid w:val="00C73CBE"/>
    <w:rsid w:val="00C75067"/>
    <w:rsid w:val="00C80AB1"/>
    <w:rsid w:val="00C80EA7"/>
    <w:rsid w:val="00C829BD"/>
    <w:rsid w:val="00C90DC0"/>
    <w:rsid w:val="00C9151F"/>
    <w:rsid w:val="00C9607F"/>
    <w:rsid w:val="00C96EC4"/>
    <w:rsid w:val="00CA3FF3"/>
    <w:rsid w:val="00CA5385"/>
    <w:rsid w:val="00CA5CAD"/>
    <w:rsid w:val="00CB0109"/>
    <w:rsid w:val="00CB0FF8"/>
    <w:rsid w:val="00CB287F"/>
    <w:rsid w:val="00CB305B"/>
    <w:rsid w:val="00CB497D"/>
    <w:rsid w:val="00CB7523"/>
    <w:rsid w:val="00CC378B"/>
    <w:rsid w:val="00CC44C3"/>
    <w:rsid w:val="00CC4BC7"/>
    <w:rsid w:val="00CC7935"/>
    <w:rsid w:val="00CC7C37"/>
    <w:rsid w:val="00CD301A"/>
    <w:rsid w:val="00CD5F53"/>
    <w:rsid w:val="00CD6501"/>
    <w:rsid w:val="00CD6D32"/>
    <w:rsid w:val="00CD7005"/>
    <w:rsid w:val="00CD7B70"/>
    <w:rsid w:val="00CE309E"/>
    <w:rsid w:val="00CE4C88"/>
    <w:rsid w:val="00CE5B0C"/>
    <w:rsid w:val="00D00565"/>
    <w:rsid w:val="00D01856"/>
    <w:rsid w:val="00D05382"/>
    <w:rsid w:val="00D0561C"/>
    <w:rsid w:val="00D13748"/>
    <w:rsid w:val="00D1549A"/>
    <w:rsid w:val="00D16160"/>
    <w:rsid w:val="00D25CE8"/>
    <w:rsid w:val="00D344A5"/>
    <w:rsid w:val="00D34C55"/>
    <w:rsid w:val="00D3625A"/>
    <w:rsid w:val="00D36B56"/>
    <w:rsid w:val="00D422CC"/>
    <w:rsid w:val="00D42A74"/>
    <w:rsid w:val="00D45B13"/>
    <w:rsid w:val="00D50C67"/>
    <w:rsid w:val="00D50E4C"/>
    <w:rsid w:val="00D5209A"/>
    <w:rsid w:val="00D521A0"/>
    <w:rsid w:val="00D5313B"/>
    <w:rsid w:val="00D53CE9"/>
    <w:rsid w:val="00D53E40"/>
    <w:rsid w:val="00D5498F"/>
    <w:rsid w:val="00D6024C"/>
    <w:rsid w:val="00D602CE"/>
    <w:rsid w:val="00D64534"/>
    <w:rsid w:val="00D65468"/>
    <w:rsid w:val="00D7186C"/>
    <w:rsid w:val="00D71F95"/>
    <w:rsid w:val="00D73DA8"/>
    <w:rsid w:val="00D746B1"/>
    <w:rsid w:val="00D7594A"/>
    <w:rsid w:val="00D761FE"/>
    <w:rsid w:val="00D76BA7"/>
    <w:rsid w:val="00D833E7"/>
    <w:rsid w:val="00D83416"/>
    <w:rsid w:val="00D834BF"/>
    <w:rsid w:val="00D84AC2"/>
    <w:rsid w:val="00D91803"/>
    <w:rsid w:val="00D941A0"/>
    <w:rsid w:val="00D95150"/>
    <w:rsid w:val="00D97744"/>
    <w:rsid w:val="00DA044B"/>
    <w:rsid w:val="00DA3218"/>
    <w:rsid w:val="00DA33F4"/>
    <w:rsid w:val="00DA4510"/>
    <w:rsid w:val="00DA5B83"/>
    <w:rsid w:val="00DA6747"/>
    <w:rsid w:val="00DB00CC"/>
    <w:rsid w:val="00DB0CD1"/>
    <w:rsid w:val="00DB24B7"/>
    <w:rsid w:val="00DC237B"/>
    <w:rsid w:val="00DC41C8"/>
    <w:rsid w:val="00DD00E5"/>
    <w:rsid w:val="00DD01DB"/>
    <w:rsid w:val="00DD4200"/>
    <w:rsid w:val="00DD4A3E"/>
    <w:rsid w:val="00DD5281"/>
    <w:rsid w:val="00DD641E"/>
    <w:rsid w:val="00DD7383"/>
    <w:rsid w:val="00DE5B67"/>
    <w:rsid w:val="00DE5BC9"/>
    <w:rsid w:val="00DE5F25"/>
    <w:rsid w:val="00DE6EAF"/>
    <w:rsid w:val="00DE7A2F"/>
    <w:rsid w:val="00DF0C69"/>
    <w:rsid w:val="00DF0D36"/>
    <w:rsid w:val="00DF36D7"/>
    <w:rsid w:val="00E02DD3"/>
    <w:rsid w:val="00E0369F"/>
    <w:rsid w:val="00E10017"/>
    <w:rsid w:val="00E10481"/>
    <w:rsid w:val="00E1282A"/>
    <w:rsid w:val="00E1467C"/>
    <w:rsid w:val="00E157AB"/>
    <w:rsid w:val="00E16D8B"/>
    <w:rsid w:val="00E2037F"/>
    <w:rsid w:val="00E20C8A"/>
    <w:rsid w:val="00E253CF"/>
    <w:rsid w:val="00E26B53"/>
    <w:rsid w:val="00E2781B"/>
    <w:rsid w:val="00E27EF9"/>
    <w:rsid w:val="00E3053A"/>
    <w:rsid w:val="00E32682"/>
    <w:rsid w:val="00E3470C"/>
    <w:rsid w:val="00E368CA"/>
    <w:rsid w:val="00E40107"/>
    <w:rsid w:val="00E4093E"/>
    <w:rsid w:val="00E40D37"/>
    <w:rsid w:val="00E418B5"/>
    <w:rsid w:val="00E43404"/>
    <w:rsid w:val="00E44960"/>
    <w:rsid w:val="00E47D3A"/>
    <w:rsid w:val="00E50086"/>
    <w:rsid w:val="00E51241"/>
    <w:rsid w:val="00E52075"/>
    <w:rsid w:val="00E5271C"/>
    <w:rsid w:val="00E55758"/>
    <w:rsid w:val="00E56052"/>
    <w:rsid w:val="00E56090"/>
    <w:rsid w:val="00E57073"/>
    <w:rsid w:val="00E652CF"/>
    <w:rsid w:val="00E65D16"/>
    <w:rsid w:val="00E7094F"/>
    <w:rsid w:val="00E71D3F"/>
    <w:rsid w:val="00E73E54"/>
    <w:rsid w:val="00E74F51"/>
    <w:rsid w:val="00E85D32"/>
    <w:rsid w:val="00E87596"/>
    <w:rsid w:val="00E90513"/>
    <w:rsid w:val="00E91285"/>
    <w:rsid w:val="00E975C1"/>
    <w:rsid w:val="00EA0E21"/>
    <w:rsid w:val="00EA186B"/>
    <w:rsid w:val="00EA4034"/>
    <w:rsid w:val="00EA53A2"/>
    <w:rsid w:val="00EA5412"/>
    <w:rsid w:val="00EA5F10"/>
    <w:rsid w:val="00EA69BD"/>
    <w:rsid w:val="00EA73C4"/>
    <w:rsid w:val="00EA74F0"/>
    <w:rsid w:val="00EB0CCD"/>
    <w:rsid w:val="00EB3E80"/>
    <w:rsid w:val="00EB4141"/>
    <w:rsid w:val="00EB4993"/>
    <w:rsid w:val="00EB50B2"/>
    <w:rsid w:val="00EB7497"/>
    <w:rsid w:val="00EC0B2B"/>
    <w:rsid w:val="00EC2516"/>
    <w:rsid w:val="00EC2E38"/>
    <w:rsid w:val="00EC652E"/>
    <w:rsid w:val="00EC7ECE"/>
    <w:rsid w:val="00ED24EF"/>
    <w:rsid w:val="00ED4037"/>
    <w:rsid w:val="00ED4A1F"/>
    <w:rsid w:val="00ED798F"/>
    <w:rsid w:val="00EE032B"/>
    <w:rsid w:val="00EE235F"/>
    <w:rsid w:val="00EE4E69"/>
    <w:rsid w:val="00EE57C4"/>
    <w:rsid w:val="00EE5E63"/>
    <w:rsid w:val="00EE6B0D"/>
    <w:rsid w:val="00EE7474"/>
    <w:rsid w:val="00EF2090"/>
    <w:rsid w:val="00EF2D50"/>
    <w:rsid w:val="00EF6B28"/>
    <w:rsid w:val="00F006B5"/>
    <w:rsid w:val="00F00C83"/>
    <w:rsid w:val="00F03970"/>
    <w:rsid w:val="00F03C54"/>
    <w:rsid w:val="00F117DF"/>
    <w:rsid w:val="00F13F2F"/>
    <w:rsid w:val="00F1590F"/>
    <w:rsid w:val="00F20637"/>
    <w:rsid w:val="00F215BD"/>
    <w:rsid w:val="00F22745"/>
    <w:rsid w:val="00F24C94"/>
    <w:rsid w:val="00F27B2A"/>
    <w:rsid w:val="00F27EB2"/>
    <w:rsid w:val="00F33743"/>
    <w:rsid w:val="00F33DF2"/>
    <w:rsid w:val="00F368ED"/>
    <w:rsid w:val="00F36D50"/>
    <w:rsid w:val="00F37C5A"/>
    <w:rsid w:val="00F41DDA"/>
    <w:rsid w:val="00F43827"/>
    <w:rsid w:val="00F438FB"/>
    <w:rsid w:val="00F46A6A"/>
    <w:rsid w:val="00F509EE"/>
    <w:rsid w:val="00F55042"/>
    <w:rsid w:val="00F60352"/>
    <w:rsid w:val="00F63636"/>
    <w:rsid w:val="00F636F1"/>
    <w:rsid w:val="00F64784"/>
    <w:rsid w:val="00F647B9"/>
    <w:rsid w:val="00F64914"/>
    <w:rsid w:val="00F652B7"/>
    <w:rsid w:val="00F654D2"/>
    <w:rsid w:val="00F71E9F"/>
    <w:rsid w:val="00F75BF3"/>
    <w:rsid w:val="00F77A7D"/>
    <w:rsid w:val="00F8136A"/>
    <w:rsid w:val="00F816B1"/>
    <w:rsid w:val="00F83258"/>
    <w:rsid w:val="00F83CFD"/>
    <w:rsid w:val="00F91445"/>
    <w:rsid w:val="00F91EFB"/>
    <w:rsid w:val="00F9209B"/>
    <w:rsid w:val="00F97021"/>
    <w:rsid w:val="00FA0CB9"/>
    <w:rsid w:val="00FA3F1C"/>
    <w:rsid w:val="00FA4770"/>
    <w:rsid w:val="00FB19F4"/>
    <w:rsid w:val="00FB335A"/>
    <w:rsid w:val="00FC1DEC"/>
    <w:rsid w:val="00FD16DE"/>
    <w:rsid w:val="00FD4890"/>
    <w:rsid w:val="00FD4E75"/>
    <w:rsid w:val="00FE0CA0"/>
    <w:rsid w:val="00FF08FC"/>
    <w:rsid w:val="00FF315D"/>
    <w:rsid w:val="00FF42A3"/>
    <w:rsid w:val="021C7E7C"/>
    <w:rsid w:val="0295D241"/>
    <w:rsid w:val="044CA2D1"/>
    <w:rsid w:val="052ABAE3"/>
    <w:rsid w:val="0590F6D1"/>
    <w:rsid w:val="05D4BC72"/>
    <w:rsid w:val="07507516"/>
    <w:rsid w:val="0757296B"/>
    <w:rsid w:val="076E26B9"/>
    <w:rsid w:val="08317AAE"/>
    <w:rsid w:val="08DD01D2"/>
    <w:rsid w:val="08FF8A9A"/>
    <w:rsid w:val="091C4AB6"/>
    <w:rsid w:val="09A21E60"/>
    <w:rsid w:val="0A10D499"/>
    <w:rsid w:val="0A84A02E"/>
    <w:rsid w:val="0A8E0E42"/>
    <w:rsid w:val="0B9793EF"/>
    <w:rsid w:val="0C0BE386"/>
    <w:rsid w:val="0C683F35"/>
    <w:rsid w:val="0C7E41C7"/>
    <w:rsid w:val="0CAF7F0F"/>
    <w:rsid w:val="0CE76A34"/>
    <w:rsid w:val="0DD7FE83"/>
    <w:rsid w:val="0E3254E8"/>
    <w:rsid w:val="0E6EDDE3"/>
    <w:rsid w:val="0FCEA0FA"/>
    <w:rsid w:val="104F5C53"/>
    <w:rsid w:val="10C31B49"/>
    <w:rsid w:val="10D9029D"/>
    <w:rsid w:val="1187577F"/>
    <w:rsid w:val="1228C7F9"/>
    <w:rsid w:val="122997DE"/>
    <w:rsid w:val="12B428AB"/>
    <w:rsid w:val="14AE2CA9"/>
    <w:rsid w:val="14C8BDAF"/>
    <w:rsid w:val="153CCFDD"/>
    <w:rsid w:val="156EA689"/>
    <w:rsid w:val="15F76577"/>
    <w:rsid w:val="16DE198C"/>
    <w:rsid w:val="185071F2"/>
    <w:rsid w:val="18507B7E"/>
    <w:rsid w:val="18B4E4ED"/>
    <w:rsid w:val="195E301C"/>
    <w:rsid w:val="199F6865"/>
    <w:rsid w:val="1AC47027"/>
    <w:rsid w:val="1AD4D06E"/>
    <w:rsid w:val="1BFBC1FA"/>
    <w:rsid w:val="1D19E1FD"/>
    <w:rsid w:val="1DFC856D"/>
    <w:rsid w:val="1EE77B61"/>
    <w:rsid w:val="1EE90C9A"/>
    <w:rsid w:val="209242F0"/>
    <w:rsid w:val="21518D57"/>
    <w:rsid w:val="217332FC"/>
    <w:rsid w:val="21BD6141"/>
    <w:rsid w:val="22444345"/>
    <w:rsid w:val="22B4EC20"/>
    <w:rsid w:val="239AA754"/>
    <w:rsid w:val="23CC89BA"/>
    <w:rsid w:val="24379424"/>
    <w:rsid w:val="24E15E98"/>
    <w:rsid w:val="25CAF184"/>
    <w:rsid w:val="26474173"/>
    <w:rsid w:val="28685600"/>
    <w:rsid w:val="28B6CDF0"/>
    <w:rsid w:val="28C0D477"/>
    <w:rsid w:val="29A0D127"/>
    <w:rsid w:val="2A57AA79"/>
    <w:rsid w:val="2A76627C"/>
    <w:rsid w:val="2AC46536"/>
    <w:rsid w:val="2C061A83"/>
    <w:rsid w:val="2DCF45DF"/>
    <w:rsid w:val="2DDB26F2"/>
    <w:rsid w:val="2E36EABC"/>
    <w:rsid w:val="2E376ED4"/>
    <w:rsid w:val="2E7D15C4"/>
    <w:rsid w:val="3027F4E1"/>
    <w:rsid w:val="30EBFE46"/>
    <w:rsid w:val="323C5786"/>
    <w:rsid w:val="3307F890"/>
    <w:rsid w:val="33C51645"/>
    <w:rsid w:val="33CF12E7"/>
    <w:rsid w:val="3415116C"/>
    <w:rsid w:val="34221D7F"/>
    <w:rsid w:val="3508E859"/>
    <w:rsid w:val="352DFA86"/>
    <w:rsid w:val="357CAF00"/>
    <w:rsid w:val="37E54F77"/>
    <w:rsid w:val="37E6360A"/>
    <w:rsid w:val="385AD52C"/>
    <w:rsid w:val="38DC7701"/>
    <w:rsid w:val="39D55960"/>
    <w:rsid w:val="3A6926C2"/>
    <w:rsid w:val="3AC77291"/>
    <w:rsid w:val="3B274013"/>
    <w:rsid w:val="3C49EE12"/>
    <w:rsid w:val="3DE08261"/>
    <w:rsid w:val="3E9CA13D"/>
    <w:rsid w:val="3F10969E"/>
    <w:rsid w:val="3FDA3D0C"/>
    <w:rsid w:val="4020299F"/>
    <w:rsid w:val="406FAEDD"/>
    <w:rsid w:val="409DDDAD"/>
    <w:rsid w:val="41A5E0BA"/>
    <w:rsid w:val="41E022E8"/>
    <w:rsid w:val="41EA9C1B"/>
    <w:rsid w:val="4384B806"/>
    <w:rsid w:val="44483705"/>
    <w:rsid w:val="4489EAFF"/>
    <w:rsid w:val="47487EC7"/>
    <w:rsid w:val="478A370B"/>
    <w:rsid w:val="4857598D"/>
    <w:rsid w:val="48EE2E55"/>
    <w:rsid w:val="493EE81F"/>
    <w:rsid w:val="4AD04327"/>
    <w:rsid w:val="4AFC53B1"/>
    <w:rsid w:val="4BA540B4"/>
    <w:rsid w:val="4C38D4A0"/>
    <w:rsid w:val="4CA35CC7"/>
    <w:rsid w:val="4D0D9DDD"/>
    <w:rsid w:val="4E6E2196"/>
    <w:rsid w:val="4EC58DDF"/>
    <w:rsid w:val="4F28F944"/>
    <w:rsid w:val="4FBBBEE0"/>
    <w:rsid w:val="4FC11259"/>
    <w:rsid w:val="5007CF94"/>
    <w:rsid w:val="508115C7"/>
    <w:rsid w:val="513D9963"/>
    <w:rsid w:val="51A244CB"/>
    <w:rsid w:val="51F33821"/>
    <w:rsid w:val="5308F84E"/>
    <w:rsid w:val="533CDFC1"/>
    <w:rsid w:val="5367AEF6"/>
    <w:rsid w:val="542E24F0"/>
    <w:rsid w:val="546882F8"/>
    <w:rsid w:val="54B36E34"/>
    <w:rsid w:val="54D177B5"/>
    <w:rsid w:val="55040AA5"/>
    <w:rsid w:val="55197B8A"/>
    <w:rsid w:val="552444C8"/>
    <w:rsid w:val="55FFE9F7"/>
    <w:rsid w:val="560FDCE8"/>
    <w:rsid w:val="5777765F"/>
    <w:rsid w:val="57F65F39"/>
    <w:rsid w:val="58AA3BF4"/>
    <w:rsid w:val="58AA795D"/>
    <w:rsid w:val="58B5AC76"/>
    <w:rsid w:val="58C5C2F5"/>
    <w:rsid w:val="59CFF2E9"/>
    <w:rsid w:val="5A3F5952"/>
    <w:rsid w:val="5AAED41C"/>
    <w:rsid w:val="5AF66EBB"/>
    <w:rsid w:val="5BDA4172"/>
    <w:rsid w:val="5BEB4111"/>
    <w:rsid w:val="5C2A36EA"/>
    <w:rsid w:val="5C33C5B0"/>
    <w:rsid w:val="5C50DA6C"/>
    <w:rsid w:val="5C5DE246"/>
    <w:rsid w:val="5C70DFEB"/>
    <w:rsid w:val="5CE09041"/>
    <w:rsid w:val="5D926E27"/>
    <w:rsid w:val="5DDB0A54"/>
    <w:rsid w:val="5E4BAEBB"/>
    <w:rsid w:val="5E99DBC4"/>
    <w:rsid w:val="5F05A1BC"/>
    <w:rsid w:val="5F2D5CDE"/>
    <w:rsid w:val="5F499BAD"/>
    <w:rsid w:val="60118329"/>
    <w:rsid w:val="60E5FCEF"/>
    <w:rsid w:val="615E32F3"/>
    <w:rsid w:val="6174E2FB"/>
    <w:rsid w:val="61FD2168"/>
    <w:rsid w:val="6235F8E3"/>
    <w:rsid w:val="63BA090F"/>
    <w:rsid w:val="64B9B459"/>
    <w:rsid w:val="65220A7E"/>
    <w:rsid w:val="67380B6E"/>
    <w:rsid w:val="67885E17"/>
    <w:rsid w:val="678946C5"/>
    <w:rsid w:val="67EED176"/>
    <w:rsid w:val="68FFB287"/>
    <w:rsid w:val="69147F81"/>
    <w:rsid w:val="695327FE"/>
    <w:rsid w:val="6988908D"/>
    <w:rsid w:val="69DF9AFA"/>
    <w:rsid w:val="69F1365B"/>
    <w:rsid w:val="6A79C3CA"/>
    <w:rsid w:val="6AE27582"/>
    <w:rsid w:val="6B5D5E14"/>
    <w:rsid w:val="6B66C5C9"/>
    <w:rsid w:val="6BAA600F"/>
    <w:rsid w:val="6BAF7C6A"/>
    <w:rsid w:val="6BCD9162"/>
    <w:rsid w:val="6C3810D7"/>
    <w:rsid w:val="6CB1CF2A"/>
    <w:rsid w:val="6CC3C765"/>
    <w:rsid w:val="6DB07E7C"/>
    <w:rsid w:val="6E729E74"/>
    <w:rsid w:val="6ECE2436"/>
    <w:rsid w:val="70A84685"/>
    <w:rsid w:val="7155FF33"/>
    <w:rsid w:val="72CFEBEF"/>
    <w:rsid w:val="74311102"/>
    <w:rsid w:val="75E1EABD"/>
    <w:rsid w:val="76739DE8"/>
    <w:rsid w:val="77171921"/>
    <w:rsid w:val="7729B9D6"/>
    <w:rsid w:val="784A6420"/>
    <w:rsid w:val="7A7286BA"/>
    <w:rsid w:val="7B4E8B4B"/>
    <w:rsid w:val="7B707419"/>
    <w:rsid w:val="7BA0A49C"/>
    <w:rsid w:val="7C877C2C"/>
    <w:rsid w:val="7CA115F9"/>
    <w:rsid w:val="7CD16620"/>
    <w:rsid w:val="7D1B4AB6"/>
    <w:rsid w:val="7D4A963B"/>
    <w:rsid w:val="7DC87362"/>
    <w:rsid w:val="7E06F49B"/>
    <w:rsid w:val="7F5E7BDD"/>
    <w:rsid w:val="7F89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097725"/>
  <w15:docId w15:val="{13DE6177-D167-4E01-A41C-B76655CA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rsid w:val="00D746B1"/>
    <w:pPr>
      <w:keepNext/>
      <w:keepLines/>
      <w:pBdr>
        <w:top w:val="nil"/>
        <w:left w:val="nil"/>
        <w:bottom w:val="nil"/>
        <w:right w:val="nil"/>
        <w:between w:val="nil"/>
      </w:pBdr>
      <w:spacing w:before="480" w:after="120"/>
      <w:outlineLvl w:val="0"/>
    </w:pPr>
    <w:rPr>
      <w:rFonts w:ascii="Cambria" w:eastAsia="Cambria" w:hAnsi="Cambria" w:cs="Cambria"/>
      <w:b/>
      <w:color w:val="000000"/>
      <w:sz w:val="30"/>
      <w:szCs w:val="30"/>
      <w:lang w:val="en"/>
    </w:rPr>
  </w:style>
  <w:style w:type="paragraph" w:styleId="Heading2">
    <w:name w:val="heading 2"/>
    <w:basedOn w:val="Normal"/>
    <w:next w:val="Normal"/>
    <w:link w:val="Heading2Char"/>
    <w:uiPriority w:val="9"/>
    <w:unhideWhenUsed/>
    <w:qFormat/>
    <w:rsid w:val="00993A1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475"/>
    <w:pPr>
      <w:ind w:left="720"/>
      <w:contextualSpacing/>
    </w:pPr>
  </w:style>
  <w:style w:type="paragraph" w:styleId="Header">
    <w:name w:val="header"/>
    <w:basedOn w:val="Normal"/>
    <w:link w:val="HeaderChar"/>
    <w:uiPriority w:val="99"/>
    <w:unhideWhenUsed/>
    <w:rsid w:val="003D4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B0E"/>
  </w:style>
  <w:style w:type="paragraph" w:styleId="Footer">
    <w:name w:val="footer"/>
    <w:basedOn w:val="Normal"/>
    <w:link w:val="FooterChar"/>
    <w:uiPriority w:val="99"/>
    <w:unhideWhenUsed/>
    <w:rsid w:val="003D4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B0E"/>
  </w:style>
  <w:style w:type="paragraph" w:styleId="Title">
    <w:name w:val="Title"/>
    <w:basedOn w:val="Normal"/>
    <w:next w:val="Normal"/>
    <w:link w:val="TitleChar"/>
    <w:qFormat/>
    <w:rsid w:val="007774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rsid w:val="0077743A"/>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77743A"/>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77743A"/>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777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43A"/>
    <w:rPr>
      <w:rFonts w:ascii="Tahoma" w:hAnsi="Tahoma" w:cs="Tahoma"/>
      <w:sz w:val="16"/>
      <w:szCs w:val="16"/>
    </w:rPr>
  </w:style>
  <w:style w:type="paragraph" w:styleId="NoSpacing">
    <w:name w:val="No Spacing"/>
    <w:link w:val="NoSpacingChar"/>
    <w:uiPriority w:val="1"/>
    <w:qFormat/>
    <w:rsid w:val="0077743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7743A"/>
    <w:rPr>
      <w:rFonts w:eastAsiaTheme="minorEastAsia"/>
      <w:lang w:eastAsia="ja-JP"/>
    </w:rPr>
  </w:style>
  <w:style w:type="character" w:styleId="CommentReference">
    <w:name w:val="annotation reference"/>
    <w:basedOn w:val="DefaultParagraphFont"/>
    <w:uiPriority w:val="99"/>
    <w:semiHidden/>
    <w:unhideWhenUsed/>
    <w:rsid w:val="00361B84"/>
    <w:rPr>
      <w:sz w:val="16"/>
      <w:szCs w:val="16"/>
    </w:rPr>
  </w:style>
  <w:style w:type="paragraph" w:styleId="CommentText">
    <w:name w:val="annotation text"/>
    <w:basedOn w:val="Normal"/>
    <w:link w:val="CommentTextChar"/>
    <w:uiPriority w:val="99"/>
    <w:semiHidden/>
    <w:unhideWhenUsed/>
    <w:rsid w:val="00361B84"/>
    <w:pPr>
      <w:spacing w:after="0" w:line="240" w:lineRule="auto"/>
    </w:pPr>
    <w:rPr>
      <w:rFonts w:ascii="Times New Roman" w:hAnsi="Times New Roman" w:cs="Times New Roman"/>
      <w:color w:val="333333"/>
      <w:sz w:val="20"/>
      <w:szCs w:val="20"/>
    </w:rPr>
  </w:style>
  <w:style w:type="character" w:customStyle="1" w:styleId="CommentTextChar">
    <w:name w:val="Comment Text Char"/>
    <w:basedOn w:val="DefaultParagraphFont"/>
    <w:link w:val="CommentText"/>
    <w:uiPriority w:val="99"/>
    <w:semiHidden/>
    <w:rsid w:val="00361B84"/>
    <w:rPr>
      <w:rFonts w:ascii="Times New Roman" w:hAnsi="Times New Roman" w:cs="Times New Roman"/>
      <w:color w:val="333333"/>
      <w:sz w:val="20"/>
      <w:szCs w:val="20"/>
    </w:rPr>
  </w:style>
  <w:style w:type="character" w:styleId="Hyperlink">
    <w:name w:val="Hyperlink"/>
    <w:basedOn w:val="DefaultParagraphFont"/>
    <w:uiPriority w:val="99"/>
    <w:unhideWhenUsed/>
    <w:rsid w:val="00D746B1"/>
    <w:rPr>
      <w:color w:val="0000FF" w:themeColor="hyperlink"/>
      <w:u w:val="single"/>
    </w:rPr>
  </w:style>
  <w:style w:type="character" w:customStyle="1" w:styleId="Heading1Char">
    <w:name w:val="Heading 1 Char"/>
    <w:basedOn w:val="DefaultParagraphFont"/>
    <w:link w:val="Heading1"/>
    <w:rsid w:val="00D746B1"/>
    <w:rPr>
      <w:rFonts w:ascii="Cambria" w:eastAsia="Cambria" w:hAnsi="Cambria" w:cs="Cambria"/>
      <w:b/>
      <w:color w:val="000000"/>
      <w:sz w:val="30"/>
      <w:szCs w:val="30"/>
      <w:lang w:val="en"/>
    </w:rPr>
  </w:style>
  <w:style w:type="paragraph" w:customStyle="1" w:styleId="Default">
    <w:name w:val="Default"/>
    <w:rsid w:val="001923C9"/>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F2B5D"/>
    <w:rPr>
      <w:color w:val="800080" w:themeColor="followedHyperlink"/>
      <w:u w:val="single"/>
    </w:rPr>
  </w:style>
  <w:style w:type="paragraph" w:styleId="FootnoteText">
    <w:name w:val="footnote text"/>
    <w:aliases w:val="Footnote Text Char Char,Footnote Text Char2 Char Char,Footnote Text Char3 Char1 Char Char,Footnote Text Char2 Char1 Char1 Char Char,Footnote Text Char3 Char1 Char Char Char Char,Footnote Text Char2,f,fn,ALTS FOOTNOTE,ALTS FOOTNOTE Char1"/>
    <w:link w:val="FootnoteTextChar"/>
    <w:rsid w:val="00401BC7"/>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Footnote Text Char2 Char Char Char,Footnote Text Char3 Char1 Char Char Char,Footnote Text Char2 Char1 Char1 Char Char Char,Footnote Text Char3 Char1 Char Char Char Char Char,Footnote Text Char2 Char,f Char"/>
    <w:basedOn w:val="DefaultParagraphFont"/>
    <w:link w:val="FootnoteText"/>
    <w:rsid w:val="00401BC7"/>
    <w:rPr>
      <w:rFonts w:ascii="Times New Roman" w:eastAsia="Times New Roman" w:hAnsi="Times New Roman" w:cs="Times New Roman"/>
      <w:sz w:val="20"/>
      <w:szCs w:val="20"/>
    </w:rPr>
  </w:style>
  <w:style w:type="character" w:styleId="FootnoteReference">
    <w:name w:val="footnote reference"/>
    <w:aliases w:val="Appel note de bas de p,Style 12,(NECG) Footnote Reference,Style 124,o,fr,Style 3,Style 13,FR,Style 6,Style 17,Footnote Reference/,Style 7,Footnote Reference1,Style 4,Style 34,Style 9,Style 20,callout,-E Funotenzeichen"/>
    <w:rsid w:val="00401BC7"/>
    <w:rPr>
      <w:rFonts w:ascii="Times New Roman" w:hAnsi="Times New Roman"/>
      <w:dstrike w:val="0"/>
      <w:color w:val="auto"/>
      <w:sz w:val="20"/>
      <w:vertAlign w:val="superscript"/>
    </w:rPr>
  </w:style>
  <w:style w:type="paragraph" w:styleId="EndnoteText">
    <w:name w:val="endnote text"/>
    <w:basedOn w:val="Normal"/>
    <w:link w:val="EndnoteTextChar"/>
    <w:uiPriority w:val="99"/>
    <w:semiHidden/>
    <w:unhideWhenUsed/>
    <w:rsid w:val="00F159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590F"/>
    <w:rPr>
      <w:sz w:val="20"/>
      <w:szCs w:val="20"/>
    </w:rPr>
  </w:style>
  <w:style w:type="character" w:styleId="EndnoteReference">
    <w:name w:val="endnote reference"/>
    <w:basedOn w:val="DefaultParagraphFont"/>
    <w:uiPriority w:val="99"/>
    <w:semiHidden/>
    <w:unhideWhenUsed/>
    <w:rsid w:val="00F1590F"/>
    <w:rPr>
      <w:vertAlign w:val="superscript"/>
    </w:rPr>
  </w:style>
  <w:style w:type="character" w:styleId="Emphasis">
    <w:name w:val="Emphasis"/>
    <w:basedOn w:val="DefaultParagraphFont"/>
    <w:uiPriority w:val="20"/>
    <w:qFormat/>
    <w:rsid w:val="006B0460"/>
    <w:rPr>
      <w:i/>
      <w:iCs/>
    </w:rPr>
  </w:style>
  <w:style w:type="paragraph" w:styleId="CommentSubject">
    <w:name w:val="annotation subject"/>
    <w:basedOn w:val="CommentText"/>
    <w:next w:val="CommentText"/>
    <w:link w:val="CommentSubjectChar"/>
    <w:uiPriority w:val="99"/>
    <w:semiHidden/>
    <w:unhideWhenUsed/>
    <w:rsid w:val="00357A18"/>
    <w:pPr>
      <w:spacing w:after="200"/>
    </w:pPr>
    <w:rPr>
      <w:rFonts w:ascii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357A18"/>
    <w:rPr>
      <w:rFonts w:ascii="Times New Roman" w:hAnsi="Times New Roman" w:cs="Times New Roman"/>
      <w:b/>
      <w:bCs/>
      <w:color w:val="333333"/>
      <w:sz w:val="20"/>
      <w:szCs w:val="20"/>
    </w:rPr>
  </w:style>
  <w:style w:type="paragraph" w:styleId="Revision">
    <w:name w:val="Revision"/>
    <w:hidden/>
    <w:uiPriority w:val="99"/>
    <w:semiHidden/>
    <w:rsid w:val="00CE309E"/>
    <w:pPr>
      <w:spacing w:after="0" w:line="240" w:lineRule="auto"/>
    </w:pPr>
  </w:style>
  <w:style w:type="character" w:customStyle="1" w:styleId="Heading2Char">
    <w:name w:val="Heading 2 Char"/>
    <w:basedOn w:val="DefaultParagraphFont"/>
    <w:link w:val="Heading2"/>
    <w:uiPriority w:val="9"/>
    <w:rsid w:val="00993A1A"/>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2B165F"/>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0533">
      <w:bodyDiv w:val="1"/>
      <w:marLeft w:val="0"/>
      <w:marRight w:val="0"/>
      <w:marTop w:val="0"/>
      <w:marBottom w:val="0"/>
      <w:divBdr>
        <w:top w:val="none" w:sz="0" w:space="0" w:color="auto"/>
        <w:left w:val="none" w:sz="0" w:space="0" w:color="auto"/>
        <w:bottom w:val="none" w:sz="0" w:space="0" w:color="auto"/>
        <w:right w:val="none" w:sz="0" w:space="0" w:color="auto"/>
      </w:divBdr>
      <w:divsChild>
        <w:div w:id="1265067189">
          <w:marLeft w:val="576"/>
          <w:marRight w:val="0"/>
          <w:marTop w:val="80"/>
          <w:marBottom w:val="0"/>
          <w:divBdr>
            <w:top w:val="none" w:sz="0" w:space="0" w:color="auto"/>
            <w:left w:val="none" w:sz="0" w:space="0" w:color="auto"/>
            <w:bottom w:val="none" w:sz="0" w:space="0" w:color="auto"/>
            <w:right w:val="none" w:sz="0" w:space="0" w:color="auto"/>
          </w:divBdr>
        </w:div>
        <w:div w:id="1110784820">
          <w:marLeft w:val="979"/>
          <w:marRight w:val="0"/>
          <w:marTop w:val="65"/>
          <w:marBottom w:val="0"/>
          <w:divBdr>
            <w:top w:val="none" w:sz="0" w:space="0" w:color="auto"/>
            <w:left w:val="none" w:sz="0" w:space="0" w:color="auto"/>
            <w:bottom w:val="none" w:sz="0" w:space="0" w:color="auto"/>
            <w:right w:val="none" w:sz="0" w:space="0" w:color="auto"/>
          </w:divBdr>
        </w:div>
        <w:div w:id="1265307337">
          <w:marLeft w:val="979"/>
          <w:marRight w:val="0"/>
          <w:marTop w:val="65"/>
          <w:marBottom w:val="0"/>
          <w:divBdr>
            <w:top w:val="none" w:sz="0" w:space="0" w:color="auto"/>
            <w:left w:val="none" w:sz="0" w:space="0" w:color="auto"/>
            <w:bottom w:val="none" w:sz="0" w:space="0" w:color="auto"/>
            <w:right w:val="none" w:sz="0" w:space="0" w:color="auto"/>
          </w:divBdr>
        </w:div>
        <w:div w:id="1083643558">
          <w:marLeft w:val="576"/>
          <w:marRight w:val="0"/>
          <w:marTop w:val="80"/>
          <w:marBottom w:val="0"/>
          <w:divBdr>
            <w:top w:val="none" w:sz="0" w:space="0" w:color="auto"/>
            <w:left w:val="none" w:sz="0" w:space="0" w:color="auto"/>
            <w:bottom w:val="none" w:sz="0" w:space="0" w:color="auto"/>
            <w:right w:val="none" w:sz="0" w:space="0" w:color="auto"/>
          </w:divBdr>
        </w:div>
        <w:div w:id="1386025927">
          <w:marLeft w:val="979"/>
          <w:marRight w:val="0"/>
          <w:marTop w:val="65"/>
          <w:marBottom w:val="0"/>
          <w:divBdr>
            <w:top w:val="none" w:sz="0" w:space="0" w:color="auto"/>
            <w:left w:val="none" w:sz="0" w:space="0" w:color="auto"/>
            <w:bottom w:val="none" w:sz="0" w:space="0" w:color="auto"/>
            <w:right w:val="none" w:sz="0" w:space="0" w:color="auto"/>
          </w:divBdr>
        </w:div>
        <w:div w:id="159732969">
          <w:marLeft w:val="1354"/>
          <w:marRight w:val="0"/>
          <w:marTop w:val="70"/>
          <w:marBottom w:val="0"/>
          <w:divBdr>
            <w:top w:val="none" w:sz="0" w:space="0" w:color="auto"/>
            <w:left w:val="none" w:sz="0" w:space="0" w:color="auto"/>
            <w:bottom w:val="none" w:sz="0" w:space="0" w:color="auto"/>
            <w:right w:val="none" w:sz="0" w:space="0" w:color="auto"/>
          </w:divBdr>
        </w:div>
        <w:div w:id="1180436474">
          <w:marLeft w:val="979"/>
          <w:marRight w:val="0"/>
          <w:marTop w:val="65"/>
          <w:marBottom w:val="0"/>
          <w:divBdr>
            <w:top w:val="none" w:sz="0" w:space="0" w:color="auto"/>
            <w:left w:val="none" w:sz="0" w:space="0" w:color="auto"/>
            <w:bottom w:val="none" w:sz="0" w:space="0" w:color="auto"/>
            <w:right w:val="none" w:sz="0" w:space="0" w:color="auto"/>
          </w:divBdr>
        </w:div>
      </w:divsChild>
    </w:div>
    <w:div w:id="315688330">
      <w:bodyDiv w:val="1"/>
      <w:marLeft w:val="0"/>
      <w:marRight w:val="0"/>
      <w:marTop w:val="0"/>
      <w:marBottom w:val="0"/>
      <w:divBdr>
        <w:top w:val="none" w:sz="0" w:space="0" w:color="auto"/>
        <w:left w:val="none" w:sz="0" w:space="0" w:color="auto"/>
        <w:bottom w:val="none" w:sz="0" w:space="0" w:color="auto"/>
        <w:right w:val="none" w:sz="0" w:space="0" w:color="auto"/>
      </w:divBdr>
    </w:div>
    <w:div w:id="691223807">
      <w:bodyDiv w:val="1"/>
      <w:marLeft w:val="0"/>
      <w:marRight w:val="0"/>
      <w:marTop w:val="0"/>
      <w:marBottom w:val="0"/>
      <w:divBdr>
        <w:top w:val="none" w:sz="0" w:space="0" w:color="auto"/>
        <w:left w:val="none" w:sz="0" w:space="0" w:color="auto"/>
        <w:bottom w:val="none" w:sz="0" w:space="0" w:color="auto"/>
        <w:right w:val="none" w:sz="0" w:space="0" w:color="auto"/>
      </w:divBdr>
    </w:div>
    <w:div w:id="937837059">
      <w:bodyDiv w:val="1"/>
      <w:marLeft w:val="0"/>
      <w:marRight w:val="0"/>
      <w:marTop w:val="0"/>
      <w:marBottom w:val="0"/>
      <w:divBdr>
        <w:top w:val="none" w:sz="0" w:space="0" w:color="auto"/>
        <w:left w:val="none" w:sz="0" w:space="0" w:color="auto"/>
        <w:bottom w:val="none" w:sz="0" w:space="0" w:color="auto"/>
        <w:right w:val="none" w:sz="0" w:space="0" w:color="auto"/>
      </w:divBdr>
    </w:div>
    <w:div w:id="1093403320">
      <w:bodyDiv w:val="1"/>
      <w:marLeft w:val="0"/>
      <w:marRight w:val="0"/>
      <w:marTop w:val="0"/>
      <w:marBottom w:val="0"/>
      <w:divBdr>
        <w:top w:val="none" w:sz="0" w:space="0" w:color="auto"/>
        <w:left w:val="none" w:sz="0" w:space="0" w:color="auto"/>
        <w:bottom w:val="none" w:sz="0" w:space="0" w:color="auto"/>
        <w:right w:val="none" w:sz="0" w:space="0" w:color="auto"/>
      </w:divBdr>
    </w:div>
    <w:div w:id="1566408370">
      <w:bodyDiv w:val="1"/>
      <w:marLeft w:val="0"/>
      <w:marRight w:val="0"/>
      <w:marTop w:val="0"/>
      <w:marBottom w:val="0"/>
      <w:divBdr>
        <w:top w:val="none" w:sz="0" w:space="0" w:color="auto"/>
        <w:left w:val="none" w:sz="0" w:space="0" w:color="auto"/>
        <w:bottom w:val="none" w:sz="0" w:space="0" w:color="auto"/>
        <w:right w:val="none" w:sz="0" w:space="0" w:color="auto"/>
      </w:divBdr>
    </w:div>
    <w:div w:id="1971394426">
      <w:bodyDiv w:val="1"/>
      <w:marLeft w:val="0"/>
      <w:marRight w:val="0"/>
      <w:marTop w:val="0"/>
      <w:marBottom w:val="0"/>
      <w:divBdr>
        <w:top w:val="none" w:sz="0" w:space="0" w:color="auto"/>
        <w:left w:val="none" w:sz="0" w:space="0" w:color="auto"/>
        <w:bottom w:val="none" w:sz="0" w:space="0" w:color="auto"/>
        <w:right w:val="none" w:sz="0" w:space="0" w:color="auto"/>
      </w:divBdr>
    </w:div>
    <w:div w:id="1992443261">
      <w:bodyDiv w:val="1"/>
      <w:marLeft w:val="0"/>
      <w:marRight w:val="0"/>
      <w:marTop w:val="0"/>
      <w:marBottom w:val="0"/>
      <w:divBdr>
        <w:top w:val="none" w:sz="0" w:space="0" w:color="auto"/>
        <w:left w:val="none" w:sz="0" w:space="0" w:color="auto"/>
        <w:bottom w:val="none" w:sz="0" w:space="0" w:color="auto"/>
        <w:right w:val="none" w:sz="0" w:space="0" w:color="auto"/>
      </w:divBdr>
      <w:divsChild>
        <w:div w:id="1059666376">
          <w:marLeft w:val="576"/>
          <w:marRight w:val="0"/>
          <w:marTop w:val="80"/>
          <w:marBottom w:val="0"/>
          <w:divBdr>
            <w:top w:val="none" w:sz="0" w:space="0" w:color="auto"/>
            <w:left w:val="none" w:sz="0" w:space="0" w:color="auto"/>
            <w:bottom w:val="none" w:sz="0" w:space="0" w:color="auto"/>
            <w:right w:val="none" w:sz="0" w:space="0" w:color="auto"/>
          </w:divBdr>
        </w:div>
        <w:div w:id="981884093">
          <w:marLeft w:val="979"/>
          <w:marRight w:val="0"/>
          <w:marTop w:val="65"/>
          <w:marBottom w:val="0"/>
          <w:divBdr>
            <w:top w:val="none" w:sz="0" w:space="0" w:color="auto"/>
            <w:left w:val="none" w:sz="0" w:space="0" w:color="auto"/>
            <w:bottom w:val="none" w:sz="0" w:space="0" w:color="auto"/>
            <w:right w:val="none" w:sz="0" w:space="0" w:color="auto"/>
          </w:divBdr>
        </w:div>
        <w:div w:id="1152260635">
          <w:marLeft w:val="979"/>
          <w:marRight w:val="0"/>
          <w:marTop w:val="65"/>
          <w:marBottom w:val="0"/>
          <w:divBdr>
            <w:top w:val="none" w:sz="0" w:space="0" w:color="auto"/>
            <w:left w:val="none" w:sz="0" w:space="0" w:color="auto"/>
            <w:bottom w:val="none" w:sz="0" w:space="0" w:color="auto"/>
            <w:right w:val="none" w:sz="0" w:space="0" w:color="auto"/>
          </w:divBdr>
        </w:div>
        <w:div w:id="1456484466">
          <w:marLeft w:val="576"/>
          <w:marRight w:val="0"/>
          <w:marTop w:val="80"/>
          <w:marBottom w:val="0"/>
          <w:divBdr>
            <w:top w:val="none" w:sz="0" w:space="0" w:color="auto"/>
            <w:left w:val="none" w:sz="0" w:space="0" w:color="auto"/>
            <w:bottom w:val="none" w:sz="0" w:space="0" w:color="auto"/>
            <w:right w:val="none" w:sz="0" w:space="0" w:color="auto"/>
          </w:divBdr>
        </w:div>
        <w:div w:id="1463109153">
          <w:marLeft w:val="979"/>
          <w:marRight w:val="0"/>
          <w:marTop w:val="65"/>
          <w:marBottom w:val="0"/>
          <w:divBdr>
            <w:top w:val="none" w:sz="0" w:space="0" w:color="auto"/>
            <w:left w:val="none" w:sz="0" w:space="0" w:color="auto"/>
            <w:bottom w:val="none" w:sz="0" w:space="0" w:color="auto"/>
            <w:right w:val="none" w:sz="0" w:space="0" w:color="auto"/>
          </w:divBdr>
        </w:div>
        <w:div w:id="435447476">
          <w:marLeft w:val="1354"/>
          <w:marRight w:val="0"/>
          <w:marTop w:val="70"/>
          <w:marBottom w:val="0"/>
          <w:divBdr>
            <w:top w:val="none" w:sz="0" w:space="0" w:color="auto"/>
            <w:left w:val="none" w:sz="0" w:space="0" w:color="auto"/>
            <w:bottom w:val="none" w:sz="0" w:space="0" w:color="auto"/>
            <w:right w:val="none" w:sz="0" w:space="0" w:color="auto"/>
          </w:divBdr>
        </w:div>
        <w:div w:id="420182307">
          <w:marLeft w:val="1354"/>
          <w:marRight w:val="0"/>
          <w:marTop w:val="70"/>
          <w:marBottom w:val="0"/>
          <w:divBdr>
            <w:top w:val="none" w:sz="0" w:space="0" w:color="auto"/>
            <w:left w:val="none" w:sz="0" w:space="0" w:color="auto"/>
            <w:bottom w:val="none" w:sz="0" w:space="0" w:color="auto"/>
            <w:right w:val="none" w:sz="0" w:space="0" w:color="auto"/>
          </w:divBdr>
        </w:div>
        <w:div w:id="1597788496">
          <w:marLeft w:val="1354"/>
          <w:marRight w:val="0"/>
          <w:marTop w:val="70"/>
          <w:marBottom w:val="0"/>
          <w:divBdr>
            <w:top w:val="none" w:sz="0" w:space="0" w:color="auto"/>
            <w:left w:val="none" w:sz="0" w:space="0" w:color="auto"/>
            <w:bottom w:val="none" w:sz="0" w:space="0" w:color="auto"/>
            <w:right w:val="none" w:sz="0" w:space="0" w:color="auto"/>
          </w:divBdr>
        </w:div>
        <w:div w:id="1359576242">
          <w:marLeft w:val="1354"/>
          <w:marRight w:val="0"/>
          <w:marTop w:val="70"/>
          <w:marBottom w:val="0"/>
          <w:divBdr>
            <w:top w:val="none" w:sz="0" w:space="0" w:color="auto"/>
            <w:left w:val="none" w:sz="0" w:space="0" w:color="auto"/>
            <w:bottom w:val="none" w:sz="0" w:space="0" w:color="auto"/>
            <w:right w:val="none" w:sz="0" w:space="0" w:color="auto"/>
          </w:divBdr>
        </w:div>
      </w:divsChild>
    </w:div>
    <w:div w:id="2000378560">
      <w:bodyDiv w:val="1"/>
      <w:marLeft w:val="0"/>
      <w:marRight w:val="0"/>
      <w:marTop w:val="0"/>
      <w:marBottom w:val="0"/>
      <w:divBdr>
        <w:top w:val="none" w:sz="0" w:space="0" w:color="auto"/>
        <w:left w:val="none" w:sz="0" w:space="0" w:color="auto"/>
        <w:bottom w:val="none" w:sz="0" w:space="0" w:color="auto"/>
        <w:right w:val="none" w:sz="0" w:space="0" w:color="auto"/>
      </w:divBdr>
    </w:div>
    <w:div w:id="2099518410">
      <w:bodyDiv w:val="1"/>
      <w:marLeft w:val="0"/>
      <w:marRight w:val="0"/>
      <w:marTop w:val="0"/>
      <w:marBottom w:val="0"/>
      <w:divBdr>
        <w:top w:val="none" w:sz="0" w:space="0" w:color="auto"/>
        <w:left w:val="none" w:sz="0" w:space="0" w:color="auto"/>
        <w:bottom w:val="none" w:sz="0" w:space="0" w:color="auto"/>
        <w:right w:val="none" w:sz="0" w:space="0" w:color="auto"/>
      </w:divBdr>
      <w:divsChild>
        <w:div w:id="366608682">
          <w:marLeft w:val="576"/>
          <w:marRight w:val="0"/>
          <w:marTop w:val="80"/>
          <w:marBottom w:val="0"/>
          <w:divBdr>
            <w:top w:val="none" w:sz="0" w:space="0" w:color="auto"/>
            <w:left w:val="none" w:sz="0" w:space="0" w:color="auto"/>
            <w:bottom w:val="none" w:sz="0" w:space="0" w:color="auto"/>
            <w:right w:val="none" w:sz="0" w:space="0" w:color="auto"/>
          </w:divBdr>
        </w:div>
        <w:div w:id="1723089363">
          <w:marLeft w:val="979"/>
          <w:marRight w:val="0"/>
          <w:marTop w:val="65"/>
          <w:marBottom w:val="0"/>
          <w:divBdr>
            <w:top w:val="none" w:sz="0" w:space="0" w:color="auto"/>
            <w:left w:val="none" w:sz="0" w:space="0" w:color="auto"/>
            <w:bottom w:val="none" w:sz="0" w:space="0" w:color="auto"/>
            <w:right w:val="none" w:sz="0" w:space="0" w:color="auto"/>
          </w:divBdr>
        </w:div>
        <w:div w:id="1079332514">
          <w:marLeft w:val="979"/>
          <w:marRight w:val="0"/>
          <w:marTop w:val="65"/>
          <w:marBottom w:val="0"/>
          <w:divBdr>
            <w:top w:val="none" w:sz="0" w:space="0" w:color="auto"/>
            <w:left w:val="none" w:sz="0" w:space="0" w:color="auto"/>
            <w:bottom w:val="none" w:sz="0" w:space="0" w:color="auto"/>
            <w:right w:val="none" w:sz="0" w:space="0" w:color="auto"/>
          </w:divBdr>
        </w:div>
        <w:div w:id="1254902696">
          <w:marLeft w:val="979"/>
          <w:marRight w:val="0"/>
          <w:marTop w:val="6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2017-10-27T00:00:00</PublishDate>
  <Abstract>This report summarizes the BDAC’s Removal of State and Local Barriers Working Group’s findings and recommendations. These recommendations are being made to the full BDAC for its consideration, and may not be the final recommendations that BDAC ultimately makes to the Federal Communications Commission.</Abstract>
  <CompanyAddress/>
  <CompanyPhone>10/27/2017</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93BC8A-ECEF-4E2B-9E59-B651EFB46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1621</Words>
  <Characters>9242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REPORT OF THE REMOVAL OF STATE AND LOCAL REGULATORY BARRIERS WORKING GROUP</vt:lpstr>
    </vt:vector>
  </TitlesOfParts>
  <Company>Broadband Deployment Advisory Committee</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REMOVAL OF STATE AND LOCAL REGULATORY BARRIERS WORKING GROUP</dc:title>
  <dc:subject>FINDINGS AND RECOMMENDATIONS</dc:subject>
  <dc:creator>Broadband Deployment Advisory Committee (BDAC)</dc:creator>
  <cp:lastModifiedBy>Brian Hurley</cp:lastModifiedBy>
  <cp:revision>2</cp:revision>
  <cp:lastPrinted>2017-10-31T19:01:00Z</cp:lastPrinted>
  <dcterms:created xsi:type="dcterms:W3CDTF">2017-11-07T23:33:00Z</dcterms:created>
  <dcterms:modified xsi:type="dcterms:W3CDTF">2017-11-07T23:33:00Z</dcterms:modified>
</cp:coreProperties>
</file>