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68976665" w14:textId="77777777" w:rsidR="00092B9A" w:rsidRPr="00787930" w:rsidRDefault="00092B9A" w:rsidP="00092B9A">
            <w:pPr>
              <w:rPr>
                <w:b/>
                <w:sz w:val="22"/>
                <w:szCs w:val="22"/>
              </w:rPr>
            </w:pPr>
            <w:r w:rsidRPr="00787930">
              <w:rPr>
                <w:b/>
                <w:sz w:val="22"/>
                <w:szCs w:val="22"/>
              </w:rPr>
              <w:t>3</w:t>
            </w:r>
            <w:r>
              <w:rPr>
                <w:b/>
                <w:sz w:val="22"/>
                <w:szCs w:val="22"/>
              </w:rPr>
              <w:t>8</w:t>
            </w:r>
            <w:r w:rsidRPr="00787930">
              <w:rPr>
                <w:b/>
                <w:sz w:val="22"/>
                <w:szCs w:val="22"/>
              </w:rPr>
              <w:t xml:space="preserve"> 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77777777" w:rsidR="0084584A" w:rsidRPr="00787930" w:rsidRDefault="0084584A" w:rsidP="0084584A">
            <w:pPr>
              <w:rPr>
                <w:b/>
                <w:sz w:val="22"/>
                <w:szCs w:val="22"/>
              </w:rPr>
            </w:pPr>
            <w:r>
              <w:rPr>
                <w:b/>
                <w:sz w:val="22"/>
                <w:szCs w:val="22"/>
              </w:rPr>
              <w:t>November 8 to 12</w:t>
            </w:r>
            <w:r w:rsidRPr="00787930">
              <w:rPr>
                <w:b/>
                <w:sz w:val="22"/>
                <w:szCs w:val="22"/>
              </w:rPr>
              <w:t>, 202</w:t>
            </w:r>
            <w:r>
              <w:rPr>
                <w:b/>
                <w:sz w:val="22"/>
                <w:szCs w:val="22"/>
              </w:rPr>
              <w:t>1</w:t>
            </w:r>
          </w:p>
          <w:p w14:paraId="04307E7E" w14:textId="22864DED" w:rsidR="00DF6653" w:rsidRPr="00164759" w:rsidRDefault="00804806" w:rsidP="0006494B">
            <w:pPr>
              <w:rPr>
                <w:b/>
                <w:i/>
                <w:sz w:val="22"/>
                <w:szCs w:val="22"/>
              </w:rPr>
            </w:pPr>
            <w:r w:rsidRPr="00164759">
              <w:rPr>
                <w:b/>
                <w:i/>
                <w:sz w:val="22"/>
                <w:szCs w:val="22"/>
              </w:rPr>
              <w:t>Virtual, Mexico</w:t>
            </w:r>
          </w:p>
        </w:tc>
        <w:tc>
          <w:tcPr>
            <w:tcW w:w="3592" w:type="dxa"/>
            <w:gridSpan w:val="2"/>
          </w:tcPr>
          <w:p w14:paraId="53715B19" w14:textId="2EC430DF"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/XVII.4.</w:t>
            </w:r>
            <w:r w:rsidR="00092B9A">
              <w:rPr>
                <w:b/>
                <w:sz w:val="22"/>
                <w:szCs w:val="22"/>
              </w:rPr>
              <w:t>2</w:t>
            </w:r>
            <w:r w:rsidR="00B47FB3" w:rsidRPr="000D09FC">
              <w:rPr>
                <w:b/>
                <w:sz w:val="22"/>
                <w:szCs w:val="22"/>
              </w:rPr>
              <w:t>.3</w:t>
            </w:r>
            <w:r w:rsidR="00092B9A">
              <w:rPr>
                <w:b/>
                <w:sz w:val="22"/>
                <w:szCs w:val="22"/>
              </w:rPr>
              <w:t>8</w:t>
            </w:r>
          </w:p>
          <w:p w14:paraId="3EC0B82E" w14:textId="381F5C01"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21</w:t>
            </w:r>
          </w:p>
          <w:p w14:paraId="57D54036" w14:textId="14269234"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r w:rsidR="00403B78">
              <w:rPr>
                <w:b/>
                <w:noProof/>
                <w:sz w:val="22"/>
                <w:szCs w:val="22"/>
              </w:rPr>
              <w:t>22  October  2021</w:t>
            </w:r>
            <w:r w:rsidRPr="007C4674">
              <w:rPr>
                <w:b/>
                <w:sz w:val="22"/>
                <w:szCs w:val="22"/>
              </w:rPr>
              <w:fldChar w:fldCharType="end"/>
            </w:r>
          </w:p>
          <w:p w14:paraId="35D56372" w14:textId="22D84C89" w:rsidR="00DF6653" w:rsidRPr="008264D0" w:rsidRDefault="00DF6653" w:rsidP="00B64C14">
            <w:pPr>
              <w:rPr>
                <w:b/>
                <w:sz w:val="22"/>
                <w:szCs w:val="22"/>
              </w:rPr>
            </w:pPr>
            <w:r w:rsidRPr="008264D0">
              <w:rPr>
                <w:b/>
                <w:sz w:val="22"/>
                <w:szCs w:val="22"/>
              </w:rPr>
              <w:t xml:space="preserve">Original: </w:t>
            </w:r>
            <w:r w:rsidR="005F3898">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49B50C5F" w14:textId="77777777" w:rsidR="00DF6653" w:rsidRDefault="005270F6" w:rsidP="005270F6">
            <w:pPr>
              <w:spacing w:before="120"/>
              <w:jc w:val="center"/>
              <w:rPr>
                <w:b/>
                <w:sz w:val="24"/>
              </w:rPr>
            </w:pPr>
            <w:r w:rsidRPr="007F2C41">
              <w:rPr>
                <w:b/>
                <w:sz w:val="24"/>
              </w:rPr>
              <w:t>PRELIMINARY VIEWS FOR WRC-</w:t>
            </w:r>
            <w:r>
              <w:rPr>
                <w:b/>
                <w:sz w:val="24"/>
              </w:rPr>
              <w:t>23</w:t>
            </w:r>
          </w:p>
          <w:p w14:paraId="01909043" w14:textId="0D192CB2" w:rsidR="005270F6" w:rsidRPr="005270F6" w:rsidRDefault="005270F6" w:rsidP="005270F6">
            <w:pPr>
              <w:spacing w:before="120"/>
              <w:jc w:val="center"/>
              <w:rPr>
                <w:b/>
                <w:sz w:val="24"/>
              </w:rPr>
            </w:pPr>
            <w:r>
              <w:rPr>
                <w:b/>
                <w:sz w:val="24"/>
              </w:rPr>
              <w:t xml:space="preserve">AGENDA ITEM </w:t>
            </w:r>
            <w:r w:rsidR="009D78D3">
              <w:rPr>
                <w:b/>
                <w:sz w:val="24"/>
              </w:rPr>
              <w:t>1.17</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32C26D0C" w:rsidR="00DF6653" w:rsidRPr="00211705" w:rsidRDefault="00DF6653" w:rsidP="00620569">
            <w:pPr>
              <w:spacing w:before="120"/>
              <w:jc w:val="center"/>
              <w:rPr>
                <w:b/>
                <w:sz w:val="24"/>
              </w:rPr>
            </w:pPr>
            <w:r w:rsidRPr="00211705">
              <w:rPr>
                <w:b/>
                <w:sz w:val="24"/>
              </w:rPr>
              <w:t xml:space="preserve">(Item on the Agenda: </w:t>
            </w:r>
            <w:r w:rsidR="005270F6">
              <w:rPr>
                <w:b/>
                <w:sz w:val="24"/>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4034D24C" w:rsidR="00DF6653" w:rsidRPr="00211705" w:rsidRDefault="00DF6653" w:rsidP="005962C2">
            <w:pPr>
              <w:spacing w:before="120"/>
              <w:jc w:val="center"/>
              <w:rPr>
                <w:b/>
                <w:sz w:val="24"/>
              </w:rPr>
            </w:pPr>
            <w:r w:rsidRPr="00211705">
              <w:rPr>
                <w:b/>
                <w:sz w:val="24"/>
                <w:lang w:val="es-UY"/>
              </w:rPr>
              <w:t xml:space="preserve">(Document submitted by </w:t>
            </w:r>
            <w:r w:rsidR="005270F6">
              <w:rPr>
                <w:b/>
                <w:sz w:val="24"/>
              </w:rPr>
              <w:t>delegation of the 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headerReference w:type="even" r:id="rId12"/>
          <w:headerReference w:type="default" r:id="rId13"/>
          <w:footerReference w:type="even" r:id="rId14"/>
          <w:footerReference w:type="default" r:id="rId15"/>
          <w:headerReference w:type="first" r:id="rId16"/>
          <w:footerReference w:type="first" r:id="rId17"/>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" filled="f" stroked="f">
                <v:textbox>
                  <w:txbxContent>
                    <w:p w14:paraId="5C2ADA8F" w14:textId="77777777" w:rsidR="005270F6" w:rsidRPr="00857D7C" w:rsidRDefault="005270F6" w:rsidP="005270F6">
                      <w:pPr>
                        <w:pBdr>
                          <w:top w:val="single" w:sz="24" w:space="8" w:color="5B9BD5"/>
                          <w:bottom w:val="single" w:sz="24" w:space="8" w:color="5B9BD5"/>
                        </w:pBdr>
                        <w:rPr>
                          <w:iCs/>
                          <w:color w:val="5B9BD5"/>
                          <w:sz w:val="22"/>
                          <w:szCs w:val="22"/>
                        </w:rPr>
                      </w:pPr>
                      <w:r>
                        <w:rPr>
                          <w:iCs/>
                          <w:sz w:val="22"/>
                          <w:szCs w:val="22"/>
                        </w:rPr>
                        <w:t>This document supports the work of CITEL’s PCC.II Working Group for WRC under 3.1 of the agenda.</w:t>
                      </w:r>
                    </w:p>
                    <w:p w14:paraId="54E64953" w14:textId="32C5751E"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2F3842B8">
                <wp:simplePos x="0" y="0"/>
                <wp:positionH relativeFrom="page">
                  <wp:posOffset>797560</wp:posOffset>
                </wp:positionH>
                <wp:positionV relativeFrom="paragraph">
                  <wp:posOffset>278765</wp:posOffset>
                </wp:positionV>
                <wp:extent cx="6285865" cy="143954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43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C02" w14:textId="17C921BE" w:rsidR="005F3898" w:rsidRDefault="005F3898" w:rsidP="005F3898">
                            <w:pPr>
                              <w:pBdr>
                                <w:top w:val="single" w:sz="24" w:space="31" w:color="5B9BD5"/>
                                <w:bottom w:val="single" w:sz="24" w:space="8" w:color="5B9BD5"/>
                              </w:pBdr>
                              <w:jc w:val="both"/>
                            </w:pPr>
                            <w:r>
                              <w:rPr>
                                <w:iCs/>
                                <w:sz w:val="22"/>
                                <w:szCs w:val="22"/>
                              </w:rPr>
                              <w:t xml:space="preserve">This document contains an attachment for the USA preliminary view on WRC-23 Agenda Item </w:t>
                            </w:r>
                            <w:r w:rsidR="009D78D3">
                              <w:rPr>
                                <w:iCs/>
                                <w:sz w:val="22"/>
                                <w:szCs w:val="22"/>
                              </w:rPr>
                              <w:t xml:space="preserve">1.17 </w:t>
                            </w:r>
                            <w:r>
                              <w:rPr>
                                <w:iCs/>
                                <w:sz w:val="22"/>
                                <w:szCs w:val="22"/>
                              </w:rPr>
                              <w:t>for consideration in CITEL´s preparation for WRC-23.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2.8pt;margin-top:21.95pt;width:494.95pt;height:113.3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" filled="f" stroked="f">
                <v:textbox>
                  <w:txbxContent>
                    <w:p w14:paraId="24FCDC02" w14:textId="17C921BE" w:rsidR="005F3898" w:rsidRDefault="005F3898" w:rsidP="005F3898">
                      <w:pPr>
                        <w:pBdr>
                          <w:top w:val="single" w:sz="24" w:space="31" w:color="5B9BD5"/>
                          <w:bottom w:val="single" w:sz="24" w:space="8" w:color="5B9BD5"/>
                        </w:pBdr>
                        <w:jc w:val="both"/>
                      </w:pPr>
                      <w:r>
                        <w:rPr>
                          <w:iCs/>
                          <w:sz w:val="22"/>
                          <w:szCs w:val="22"/>
                        </w:rPr>
                        <w:t xml:space="preserve">This document contains an attachment for the USA preliminary view on WRC-23 Agenda Item </w:t>
                      </w:r>
                      <w:r w:rsidR="009D78D3">
                        <w:rPr>
                          <w:iCs/>
                          <w:sz w:val="22"/>
                          <w:szCs w:val="22"/>
                        </w:rPr>
                        <w:t xml:space="preserve">1.17 </w:t>
                      </w:r>
                      <w:r>
                        <w:rPr>
                          <w:iCs/>
                          <w:sz w:val="22"/>
                          <w:szCs w:val="22"/>
                        </w:rPr>
                        <w:t>for consideration in CITEL´s preparation for WRC-23.</w:t>
                      </w:r>
                    </w:p>
                  </w:txbxContent>
                </v:textbox>
                <w10:wrap type="topAndBottom" anchorx="page"/>
              </v:shape>
            </w:pict>
          </mc:Fallback>
        </mc:AlternateContent>
      </w:r>
      <w:r w:rsidR="00620569" w:rsidRPr="0031615C">
        <w:rPr>
          <w:b/>
          <w:sz w:val="22"/>
        </w:rPr>
        <w:t xml:space="preserve">Executive Summary: </w:t>
      </w:r>
    </w:p>
    <w:p w14:paraId="41FA9369" w14:textId="77777777" w:rsidR="00EE3CD2" w:rsidRPr="00EE3CD2" w:rsidRDefault="00EE3CD2" w:rsidP="00EE3CD2">
      <w:pPr>
        <w:rPr>
          <w:sz w:val="24"/>
        </w:rPr>
      </w:pPr>
    </w:p>
    <w:p w14:paraId="29BDFAD4" w14:textId="712E29D3" w:rsidR="00EE3CD2" w:rsidRDefault="00EE3CD2" w:rsidP="00EE3CD2">
      <w:pPr>
        <w:tabs>
          <w:tab w:val="left" w:pos="5497"/>
        </w:tabs>
        <w:rPr>
          <w:sz w:val="24"/>
        </w:rPr>
      </w:pPr>
      <w:r>
        <w:rPr>
          <w:sz w:val="24"/>
        </w:rPr>
        <w:tab/>
      </w:r>
    </w:p>
    <w:p w14:paraId="66C1D114" w14:textId="77777777" w:rsidR="00EE3CD2" w:rsidRPr="00EE3CD2" w:rsidRDefault="00EE3CD2" w:rsidP="00EE3CD2">
      <w:pPr>
        <w:tabs>
          <w:tab w:val="left" w:pos="5497"/>
        </w:tabs>
        <w:rPr>
          <w:sz w:val="24"/>
        </w:rPr>
      </w:pPr>
    </w:p>
    <w:p w14:paraId="234E0460" w14:textId="77777777" w:rsidR="00EE3CD2" w:rsidRPr="00EE3CD2" w:rsidRDefault="00EE3CD2" w:rsidP="00EE3CD2">
      <w:pPr>
        <w:rPr>
          <w:sz w:val="24"/>
        </w:rPr>
      </w:pPr>
    </w:p>
    <w:p w14:paraId="4B163A91" w14:textId="77777777" w:rsidR="00EE3CD2" w:rsidRPr="00EE3CD2" w:rsidRDefault="00EE3CD2" w:rsidP="00EE3CD2">
      <w:pPr>
        <w:rPr>
          <w:sz w:val="24"/>
        </w:rPr>
      </w:pPr>
    </w:p>
    <w:p w14:paraId="3DA8AAB6" w14:textId="77777777" w:rsidR="00EE3CD2" w:rsidRPr="00EE3CD2" w:rsidRDefault="00EE3CD2" w:rsidP="00EE3CD2">
      <w:pPr>
        <w:rPr>
          <w:sz w:val="24"/>
        </w:rPr>
      </w:pPr>
    </w:p>
    <w:p w14:paraId="3381D7D7" w14:textId="77777777" w:rsidR="00EE3CD2" w:rsidRPr="00EE3CD2" w:rsidRDefault="00EE3CD2" w:rsidP="00EE3CD2">
      <w:pPr>
        <w:rPr>
          <w:sz w:val="24"/>
        </w:rPr>
      </w:pPr>
    </w:p>
    <w:p w14:paraId="60187755" w14:textId="77777777" w:rsidR="009D78D3" w:rsidRPr="00C52B22" w:rsidRDefault="009D78D3" w:rsidP="009D78D3">
      <w:pPr>
        <w:widowControl w:val="0"/>
        <w:autoSpaceDE w:val="0"/>
        <w:autoSpaceDN w:val="0"/>
        <w:spacing w:before="120"/>
        <w:jc w:val="center"/>
        <w:rPr>
          <w:b/>
          <w:szCs w:val="22"/>
        </w:rPr>
      </w:pPr>
      <w:r w:rsidRPr="00C52B22">
        <w:rPr>
          <w:b/>
          <w:szCs w:val="22"/>
        </w:rPr>
        <w:lastRenderedPageBreak/>
        <w:t>UNITED STATES OF AMERICA</w:t>
      </w:r>
    </w:p>
    <w:p w14:paraId="25A6E4AD" w14:textId="77777777" w:rsidR="009D78D3" w:rsidRPr="00C52B22" w:rsidRDefault="009D78D3" w:rsidP="009D78D3">
      <w:pPr>
        <w:widowControl w:val="0"/>
        <w:autoSpaceDE w:val="0"/>
        <w:autoSpaceDN w:val="0"/>
        <w:spacing w:before="120"/>
        <w:jc w:val="center"/>
        <w:rPr>
          <w:b/>
          <w:szCs w:val="22"/>
        </w:rPr>
      </w:pPr>
      <w:r w:rsidRPr="00C52B22">
        <w:rPr>
          <w:b/>
          <w:szCs w:val="22"/>
        </w:rPr>
        <w:t>DRAFT PRELIMINARY VIEWS ON WRC-23</w:t>
      </w:r>
    </w:p>
    <w:p w14:paraId="0E9F90CD" w14:textId="77777777" w:rsidR="009D78D3" w:rsidRPr="00C52B22" w:rsidRDefault="009D78D3" w:rsidP="009D78D3">
      <w:pPr>
        <w:pStyle w:val="NormalWeb"/>
        <w:spacing w:after="0" w:line="240" w:lineRule="auto"/>
        <w:rPr>
          <w:bCs/>
          <w:color w:val="010101"/>
          <w:sz w:val="22"/>
          <w:szCs w:val="22"/>
        </w:rPr>
      </w:pPr>
    </w:p>
    <w:p w14:paraId="1A82B4AF" w14:textId="77777777" w:rsidR="009D78D3" w:rsidRPr="00C52B22" w:rsidRDefault="009D78D3" w:rsidP="009D78D3">
      <w:pPr>
        <w:pStyle w:val="BodyText"/>
        <w:rPr>
          <w:sz w:val="22"/>
          <w:szCs w:val="22"/>
        </w:rPr>
      </w:pPr>
      <w:r w:rsidRPr="00403B78">
        <w:rPr>
          <w:b/>
          <w:bCs/>
          <w:sz w:val="22"/>
          <w:szCs w:val="22"/>
        </w:rPr>
        <w:t>AGENDA ITEM 1.17</w:t>
      </w:r>
      <w:r w:rsidRPr="00403B78">
        <w:rPr>
          <w:sz w:val="22"/>
          <w:szCs w:val="22"/>
        </w:rPr>
        <w:t>:</w:t>
      </w:r>
      <w:r w:rsidRPr="00C52B22">
        <w:rPr>
          <w:sz w:val="22"/>
          <w:szCs w:val="22"/>
        </w:rPr>
        <w:t xml:space="preserve"> to determine and carry out, on the basis of the ITU-R studies in accordance with Resolution </w:t>
      </w:r>
      <w:r w:rsidRPr="00C52B22">
        <w:rPr>
          <w:b/>
          <w:bCs/>
          <w:sz w:val="22"/>
          <w:szCs w:val="22"/>
        </w:rPr>
        <w:t>773 (WRC-19)</w:t>
      </w:r>
      <w:r w:rsidRPr="00C52B22">
        <w:rPr>
          <w:sz w:val="22"/>
          <w:szCs w:val="22"/>
        </w:rPr>
        <w:t xml:space="preserve">, the </w:t>
      </w:r>
      <w:bookmarkStart w:id="0" w:name="_Hlk38968112"/>
      <w:r w:rsidRPr="00C52B22">
        <w:rPr>
          <w:sz w:val="22"/>
          <w:szCs w:val="22"/>
        </w:rPr>
        <w:t>appropriate regulatory actions for the provision of inter-satellite links in specific frequency bands, or portions thereof, by adding an inter-satellite service allocation where appropriate</w:t>
      </w:r>
      <w:bookmarkEnd w:id="0"/>
      <w:r w:rsidRPr="00C52B22">
        <w:rPr>
          <w:sz w:val="22"/>
          <w:szCs w:val="22"/>
        </w:rPr>
        <w:t>.</w:t>
      </w:r>
    </w:p>
    <w:p w14:paraId="235A577F" w14:textId="77777777" w:rsidR="009D78D3" w:rsidRPr="00C52B22" w:rsidRDefault="009D78D3" w:rsidP="009D78D3">
      <w:pPr>
        <w:pStyle w:val="BodyText"/>
        <w:rPr>
          <w:sz w:val="22"/>
          <w:szCs w:val="22"/>
        </w:rPr>
      </w:pPr>
    </w:p>
    <w:p w14:paraId="5BDB6645" w14:textId="77777777" w:rsidR="009D78D3" w:rsidRPr="00C52B22" w:rsidRDefault="009D78D3" w:rsidP="009D78D3">
      <w:pPr>
        <w:pStyle w:val="BodyText"/>
        <w:spacing w:before="120"/>
        <w:ind w:right="158"/>
        <w:rPr>
          <w:sz w:val="22"/>
          <w:szCs w:val="22"/>
        </w:rPr>
      </w:pPr>
      <w:r w:rsidRPr="00C52B22">
        <w:rPr>
          <w:b/>
          <w:bCs/>
          <w:sz w:val="22"/>
          <w:szCs w:val="22"/>
        </w:rPr>
        <w:t xml:space="preserve">BACKGROUND:  </w:t>
      </w:r>
      <w:r w:rsidRPr="00C52B22">
        <w:rPr>
          <w:sz w:val="22"/>
          <w:szCs w:val="22"/>
        </w:rPr>
        <w:t xml:space="preserve">WRC-23 is considering taking appropriate regulatory actions for the provision of satellite-to-satellite links, including new ISS allocations, as appropriate in the frequency ranges 11.7-12.7 GHz, 18.1-18.6 GHz, 18.8-20.2 GHz, and 27.5-30 GHz to facilitate relaying data from non-geostationary (non-GSO) space stations through satellite networks in the fixed-satellite service.  </w:t>
      </w:r>
    </w:p>
    <w:p w14:paraId="0AEF5BAE" w14:textId="6E2D6D54" w:rsidR="009D78D3" w:rsidRPr="00C52B22" w:rsidRDefault="009D78D3" w:rsidP="009D78D3">
      <w:pPr>
        <w:pStyle w:val="BodyText"/>
        <w:spacing w:before="120"/>
        <w:ind w:right="158"/>
        <w:rPr>
          <w:sz w:val="22"/>
          <w:szCs w:val="22"/>
        </w:rPr>
      </w:pPr>
      <w:r w:rsidRPr="00C52B22">
        <w:rPr>
          <w:sz w:val="22"/>
          <w:szCs w:val="22"/>
        </w:rPr>
        <w:t xml:space="preserve">The 11.7-12.7 GHz frequency range is allocated to the fixed, mobile, broadcasting, broadcasting-satellite, and fixed-satellite services on a primary basis.  The 18.1-18.6 GHz, 18.8-19.7 GHz, and 27.5-29.5 GHz frequency ranges are allocated to the fixed, mobile, and fixed-satellite services on a primary basis, with </w:t>
      </w:r>
      <w:proofErr w:type="gramStart"/>
      <w:r w:rsidRPr="00C52B22">
        <w:rPr>
          <w:sz w:val="22"/>
          <w:szCs w:val="22"/>
        </w:rPr>
        <w:t>particular Radio</w:t>
      </w:r>
      <w:proofErr w:type="gramEnd"/>
      <w:r w:rsidRPr="00C52B22">
        <w:rPr>
          <w:sz w:val="22"/>
          <w:szCs w:val="22"/>
        </w:rPr>
        <w:t xml:space="preserve"> Regulation provisions for non-GSO mobile-satellite service feeder links in the 19.3-19.7 GHz and 29.1-29.5 MHz frequency bands. The 19.7-20.2 GHz and 29.5-30 GHz frequency bands are allocated to the fixed-satellite and mobile-satellite services on a primary basis.  There is an adjacent band primary allocation to the Earth-exploration satellite service (passive) in 18.6-18.8 GHz.  Studies will need to be conducted on the technical and operational characteristics, spectrum needs, and protection, sharing and potential compatibility between satellite-to-satellite links and the allocated primary services in the frequency ranges and adjacent bands specified in Resolution </w:t>
      </w:r>
      <w:r w:rsidRPr="00C52B22">
        <w:rPr>
          <w:b/>
          <w:bCs/>
          <w:sz w:val="22"/>
          <w:szCs w:val="22"/>
        </w:rPr>
        <w:t>773 (WRC-19)</w:t>
      </w:r>
      <w:r w:rsidRPr="00C52B22">
        <w:rPr>
          <w:sz w:val="22"/>
          <w:szCs w:val="22"/>
        </w:rPr>
        <w:t>. These studies are underway in the ITU.</w:t>
      </w:r>
    </w:p>
    <w:p w14:paraId="1B9CEA4B" w14:textId="77777777" w:rsidR="009D78D3" w:rsidRPr="00C52B22" w:rsidRDefault="009D78D3" w:rsidP="009D78D3">
      <w:pPr>
        <w:pStyle w:val="BodyText"/>
        <w:spacing w:before="120"/>
        <w:ind w:right="158"/>
        <w:rPr>
          <w:sz w:val="22"/>
          <w:szCs w:val="22"/>
        </w:rPr>
      </w:pPr>
    </w:p>
    <w:p w14:paraId="6DD50F0B" w14:textId="77777777" w:rsidR="009D78D3" w:rsidRPr="00C52B22" w:rsidRDefault="009D78D3" w:rsidP="009D78D3">
      <w:pPr>
        <w:pStyle w:val="BodyText"/>
        <w:spacing w:before="120"/>
        <w:ind w:right="158"/>
        <w:rPr>
          <w:sz w:val="22"/>
          <w:szCs w:val="22"/>
        </w:rPr>
      </w:pPr>
      <w:r w:rsidRPr="00C52B22">
        <w:rPr>
          <w:b/>
          <w:bCs/>
          <w:sz w:val="22"/>
          <w:szCs w:val="22"/>
        </w:rPr>
        <w:t xml:space="preserve">DISCUSSION: </w:t>
      </w:r>
      <w:r w:rsidRPr="00C52B22">
        <w:rPr>
          <w:sz w:val="22"/>
          <w:szCs w:val="22"/>
        </w:rPr>
        <w:t xml:space="preserve">Space station operations in low-Earth orbit are increasing at a rapid rate for scientific, academic, and commercial purposes.  These stations vary in size from as large as the International Space Station to as small as single unit </w:t>
      </w:r>
      <w:proofErr w:type="spellStart"/>
      <w:r w:rsidRPr="00C52B22">
        <w:rPr>
          <w:sz w:val="22"/>
          <w:szCs w:val="22"/>
        </w:rPr>
        <w:t>cubesats</w:t>
      </w:r>
      <w:proofErr w:type="spellEnd"/>
      <w:r>
        <w:rPr>
          <w:rStyle w:val="FootnoteReference"/>
          <w:sz w:val="22"/>
          <w:szCs w:val="22"/>
        </w:rPr>
        <w:footnoteReference w:id="1"/>
      </w:r>
      <w:r w:rsidRPr="00C52B22">
        <w:rPr>
          <w:sz w:val="22"/>
          <w:szCs w:val="22"/>
        </w:rPr>
        <w:t xml:space="preserve"> and have wide ranging data requirements.  Users of these systems require moving data from space to Earth, or other satellite terminal locations in an efficient, fast, and cost-effective manner.  </w:t>
      </w:r>
    </w:p>
    <w:p w14:paraId="21AF03FF" w14:textId="77777777" w:rsidR="009D78D3" w:rsidRPr="00C52B22" w:rsidRDefault="009D78D3" w:rsidP="009D78D3">
      <w:pPr>
        <w:pStyle w:val="BodyText"/>
        <w:spacing w:before="121"/>
        <w:ind w:right="172"/>
        <w:rPr>
          <w:sz w:val="22"/>
          <w:szCs w:val="22"/>
        </w:rPr>
      </w:pPr>
      <w:r w:rsidRPr="00C52B22">
        <w:rPr>
          <w:sz w:val="22"/>
          <w:szCs w:val="22"/>
        </w:rPr>
        <w:t xml:space="preserve">In light of the above, satellite manufacturers are developing technologies addressing this need, including the possible use of satellite-to-satellite links with transmissions limited to the same direction of transmission (e.g., Earth-to-space or space-to-Earth) of the GSO or non-GSO FSS service providers’ space station.  </w:t>
      </w:r>
    </w:p>
    <w:p w14:paraId="52390FCC" w14:textId="4E1C9BEE" w:rsidR="009D78D3" w:rsidRPr="00C52B22" w:rsidRDefault="009D78D3" w:rsidP="009D78D3">
      <w:pPr>
        <w:pStyle w:val="BodyText"/>
        <w:spacing w:before="121"/>
        <w:ind w:right="172"/>
        <w:rPr>
          <w:sz w:val="22"/>
          <w:szCs w:val="22"/>
        </w:rPr>
      </w:pPr>
      <w:r w:rsidRPr="00C52B22">
        <w:rPr>
          <w:sz w:val="22"/>
          <w:szCs w:val="22"/>
        </w:rPr>
        <w:t xml:space="preserve">Consequently, there is a need for developing technical and operational characteristics that could allow for different types of space stations that plan to provide satellite-to-satellite transmissions in the referenced frequency bands. The technical and operational characteristics, including spectrum requirements, off-axis equivalent </w:t>
      </w:r>
      <w:proofErr w:type="spellStart"/>
      <w:r w:rsidRPr="00C52B22">
        <w:rPr>
          <w:sz w:val="22"/>
          <w:szCs w:val="22"/>
        </w:rPr>
        <w:t>isotropically</w:t>
      </w:r>
      <w:proofErr w:type="spellEnd"/>
      <w:r w:rsidRPr="00C52B22">
        <w:rPr>
          <w:sz w:val="22"/>
          <w:szCs w:val="22"/>
        </w:rPr>
        <w:t xml:space="preserve"> radiated power (</w:t>
      </w:r>
      <w:proofErr w:type="spellStart"/>
      <w:r w:rsidRPr="00C52B22">
        <w:rPr>
          <w:sz w:val="22"/>
          <w:szCs w:val="22"/>
        </w:rPr>
        <w:t>e.i.r.p</w:t>
      </w:r>
      <w:proofErr w:type="spellEnd"/>
      <w:r w:rsidRPr="00C52B22">
        <w:rPr>
          <w:sz w:val="22"/>
          <w:szCs w:val="22"/>
        </w:rPr>
        <w:t>.) values and out-of-band emission limits for transmissions between space stations will also need to be studied. Any approach taken must ensure the protection of services to which the referenced frequency bands are allocated on a primary basis, without imposing regulatory or technical constraints on those services.</w:t>
      </w:r>
    </w:p>
    <w:p w14:paraId="721FEDDB" w14:textId="77777777" w:rsidR="009D78D3" w:rsidRPr="00C52B22" w:rsidRDefault="009D78D3" w:rsidP="009D78D3">
      <w:pPr>
        <w:pStyle w:val="BodyText"/>
        <w:rPr>
          <w:sz w:val="22"/>
          <w:szCs w:val="22"/>
        </w:rPr>
      </w:pPr>
    </w:p>
    <w:p w14:paraId="4DF4E836" w14:textId="797C0F74" w:rsidR="009D78D3" w:rsidRPr="00C52B22" w:rsidRDefault="009D78D3" w:rsidP="009D78D3">
      <w:pPr>
        <w:pStyle w:val="BodyText"/>
        <w:spacing w:before="217"/>
        <w:ind w:right="145"/>
        <w:rPr>
          <w:sz w:val="22"/>
          <w:szCs w:val="22"/>
        </w:rPr>
      </w:pPr>
      <w:r w:rsidRPr="00C52B22">
        <w:rPr>
          <w:b/>
          <w:bCs/>
          <w:sz w:val="22"/>
          <w:szCs w:val="22"/>
        </w:rPr>
        <w:t xml:space="preserve">U.S. VIEW:  </w:t>
      </w:r>
      <w:r w:rsidRPr="00C52B22">
        <w:rPr>
          <w:sz w:val="22"/>
          <w:szCs w:val="22"/>
        </w:rPr>
        <w:t xml:space="preserve">The United States supports studies called for under Resolution </w:t>
      </w:r>
      <w:r w:rsidRPr="00C52B22">
        <w:rPr>
          <w:b/>
          <w:bCs/>
          <w:sz w:val="22"/>
          <w:szCs w:val="22"/>
        </w:rPr>
        <w:t>773 (WRC-19)</w:t>
      </w:r>
      <w:r w:rsidRPr="00C52B22">
        <w:rPr>
          <w:sz w:val="22"/>
          <w:szCs w:val="22"/>
        </w:rPr>
        <w:t xml:space="preserve">, including assessing the spectrum requirements, development of technical and operational characteristics, </w:t>
      </w:r>
      <w:r w:rsidRPr="00C52B22">
        <w:rPr>
          <w:sz w:val="22"/>
          <w:szCs w:val="22"/>
        </w:rPr>
        <w:lastRenderedPageBreak/>
        <w:t xml:space="preserve">conducting sharing and compatibility with a view to ensuring the protection of, and without imposing additional regulatory or technical constraints on primary allocated services in these </w:t>
      </w:r>
      <w:r w:rsidRPr="00403B78">
        <w:rPr>
          <w:sz w:val="22"/>
          <w:szCs w:val="22"/>
        </w:rPr>
        <w:t>bands</w:t>
      </w:r>
      <w:r w:rsidR="00403B78">
        <w:rPr>
          <w:sz w:val="22"/>
          <w:szCs w:val="22"/>
        </w:rPr>
        <w:t xml:space="preserve"> </w:t>
      </w:r>
      <w:r w:rsidR="00403B78" w:rsidRPr="00403B78">
        <w:rPr>
          <w:sz w:val="22"/>
          <w:szCs w:val="22"/>
        </w:rPr>
        <w:t>and adjacent frequency bands, including passive services</w:t>
      </w:r>
      <w:r w:rsidRPr="00403B78">
        <w:rPr>
          <w:sz w:val="22"/>
          <w:szCs w:val="22"/>
        </w:rPr>
        <w:t>.</w:t>
      </w:r>
      <w:r w:rsidRPr="00C52B22">
        <w:rPr>
          <w:sz w:val="22"/>
          <w:szCs w:val="22"/>
        </w:rPr>
        <w:t xml:space="preserve">  The United States is also of the view that </w:t>
      </w:r>
      <w:bookmarkStart w:id="1" w:name="_Hlk34915799"/>
      <w:r w:rsidRPr="00C52B22">
        <w:rPr>
          <w:sz w:val="22"/>
          <w:szCs w:val="22"/>
        </w:rPr>
        <w:t>the studies of satellite-to-satellite operations for consideration under this agenda item should be limited to links operating in the same direction of transmission as provided in the current allocations for the fixed-satellite service in the frequency bands under consideration.</w:t>
      </w:r>
      <w:bookmarkEnd w:id="1"/>
      <w:r w:rsidRPr="00C52B22">
        <w:rPr>
          <w:sz w:val="22"/>
          <w:szCs w:val="22"/>
        </w:rPr>
        <w:t xml:space="preserve"> Based on the results of these studies, the United States supports the consideration of appropriate technical and regulatory provisions at WRC-23 to address Resolution </w:t>
      </w:r>
      <w:r w:rsidRPr="00C52B22">
        <w:rPr>
          <w:b/>
          <w:bCs/>
          <w:sz w:val="22"/>
          <w:szCs w:val="22"/>
        </w:rPr>
        <w:t xml:space="preserve">773 (WRC-19) </w:t>
      </w:r>
      <w:r w:rsidRPr="00C52B22">
        <w:rPr>
          <w:sz w:val="22"/>
          <w:szCs w:val="22"/>
        </w:rPr>
        <w:t xml:space="preserve">in the frequency bands 11.7-12.7 GHz, 18.1-18.6 GHz, 18.8-20.2 GHz, and 27.5-30 GHz, or portions thereof. </w:t>
      </w:r>
    </w:p>
    <w:p w14:paraId="011DFFFC" w14:textId="23DF4F0F" w:rsidR="007D71C7" w:rsidRDefault="007D71C7" w:rsidP="00403B78">
      <w:pPr>
        <w:pStyle w:val="BodyText"/>
        <w:spacing w:before="217"/>
        <w:ind w:left="117" w:right="145"/>
        <w:rPr>
          <w:sz w:val="22"/>
          <w:szCs w:val="22"/>
        </w:rPr>
      </w:pPr>
    </w:p>
    <w:p w14:paraId="4086EDBC" w14:textId="77777777" w:rsidR="007D71C7" w:rsidRDefault="007D71C7" w:rsidP="009D78D3">
      <w:pPr>
        <w:pStyle w:val="BodyText"/>
        <w:spacing w:before="217"/>
        <w:ind w:left="117" w:right="145"/>
        <w:jc w:val="center"/>
        <w:rPr>
          <w:sz w:val="22"/>
          <w:szCs w:val="22"/>
        </w:rPr>
      </w:pPr>
    </w:p>
    <w:p w14:paraId="477D50FC" w14:textId="76F217C6" w:rsidR="009D78D3" w:rsidRPr="00C52B22" w:rsidRDefault="009D78D3" w:rsidP="009D78D3">
      <w:pPr>
        <w:pStyle w:val="BodyText"/>
        <w:spacing w:before="217"/>
        <w:ind w:left="117" w:right="145"/>
        <w:jc w:val="center"/>
        <w:rPr>
          <w:sz w:val="22"/>
          <w:szCs w:val="22"/>
        </w:rPr>
      </w:pPr>
      <w:r w:rsidRPr="00C52B22">
        <w:rPr>
          <w:sz w:val="22"/>
          <w:szCs w:val="22"/>
        </w:rPr>
        <w:t>________</w:t>
      </w:r>
    </w:p>
    <w:p w14:paraId="5DDA9314" w14:textId="77777777" w:rsidR="00EE3CD2" w:rsidRPr="00EE3CD2" w:rsidRDefault="00EE3CD2" w:rsidP="00EE3CD2">
      <w:pPr>
        <w:rPr>
          <w:sz w:val="24"/>
        </w:rPr>
      </w:pPr>
    </w:p>
    <w:p w14:paraId="0AD607D0" w14:textId="77777777" w:rsidR="00EE3CD2" w:rsidRPr="00EE3CD2" w:rsidRDefault="00EE3CD2" w:rsidP="00EE3CD2">
      <w:pPr>
        <w:rPr>
          <w:sz w:val="24"/>
        </w:rPr>
      </w:pPr>
    </w:p>
    <w:p w14:paraId="3DA79847" w14:textId="77777777" w:rsidR="00EE3CD2" w:rsidRPr="00EE3CD2" w:rsidRDefault="00EE3CD2" w:rsidP="00EE3CD2">
      <w:pPr>
        <w:rPr>
          <w:sz w:val="24"/>
        </w:rPr>
      </w:pPr>
    </w:p>
    <w:p w14:paraId="7860982C" w14:textId="77777777" w:rsidR="00EE3CD2" w:rsidRPr="00EE3CD2" w:rsidRDefault="00EE3CD2" w:rsidP="00EE3CD2">
      <w:pPr>
        <w:rPr>
          <w:sz w:val="24"/>
        </w:rPr>
      </w:pPr>
    </w:p>
    <w:p w14:paraId="12A417B6" w14:textId="77777777" w:rsidR="00EE3CD2" w:rsidRPr="00EE3CD2" w:rsidRDefault="00EE3CD2" w:rsidP="00EE3CD2">
      <w:pPr>
        <w:rPr>
          <w:sz w:val="24"/>
        </w:rPr>
      </w:pPr>
    </w:p>
    <w:p w14:paraId="5AAC2327" w14:textId="77777777" w:rsidR="00EE3CD2" w:rsidRPr="00EE3CD2" w:rsidRDefault="00EE3CD2" w:rsidP="00EE3CD2">
      <w:pPr>
        <w:rPr>
          <w:sz w:val="24"/>
        </w:rPr>
      </w:pPr>
    </w:p>
    <w:p w14:paraId="1EC5FAEC" w14:textId="77777777" w:rsidR="00EE3CD2" w:rsidRPr="00EE3CD2" w:rsidRDefault="00EE3CD2" w:rsidP="00EE3CD2">
      <w:pPr>
        <w:rPr>
          <w:sz w:val="24"/>
        </w:rPr>
      </w:pPr>
    </w:p>
    <w:p w14:paraId="792DE81A" w14:textId="77777777" w:rsidR="00EE3CD2" w:rsidRPr="00EE3CD2" w:rsidRDefault="00EE3CD2" w:rsidP="00EE3CD2">
      <w:pPr>
        <w:rPr>
          <w:sz w:val="24"/>
        </w:rPr>
      </w:pPr>
    </w:p>
    <w:p w14:paraId="4EEB83EB" w14:textId="2C37F139" w:rsidR="00DF6653" w:rsidRPr="00EE3CD2" w:rsidRDefault="00DF6653" w:rsidP="00EE3CD2">
      <w:pPr>
        <w:rPr>
          <w:sz w:val="24"/>
        </w:rPr>
      </w:pPr>
    </w:p>
    <w:sectPr w:rsidR="00DF6653" w:rsidRPr="00EE3CD2" w:rsidSect="003701A5">
      <w:headerReference w:type="default" r:id="rId18"/>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2CC0" w14:textId="77777777" w:rsidR="00F00EDB" w:rsidRDefault="00F00EDB">
      <w:r>
        <w:separator/>
      </w:r>
    </w:p>
  </w:endnote>
  <w:endnote w:type="continuationSeparator" w:id="0">
    <w:p w14:paraId="1456A7AA" w14:textId="77777777" w:rsidR="00F00EDB" w:rsidRDefault="00F0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8EF153B" w:rsidR="00C41FAE" w:rsidRDefault="00C41FAE" w:rsidP="00D87E29">
    <w:pPr>
      <w:pStyle w:val="Footer"/>
      <w:ind w:right="360"/>
    </w:pPr>
    <w:r>
      <w:tab/>
    </w:r>
    <w:r>
      <w:fldChar w:fldCharType="begin"/>
    </w:r>
    <w:r>
      <w:instrText xml:space="preserve"> savedate \@ dd.MM.yy </w:instrText>
    </w:r>
    <w:r>
      <w:fldChar w:fldCharType="separate"/>
    </w:r>
    <w:r w:rsidR="00403B78">
      <w:rPr>
        <w:noProof/>
      </w:rPr>
      <w:t>22.10.21</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98BA" w14:textId="77777777" w:rsidR="00F00EDB" w:rsidRDefault="00F00EDB">
      <w:r>
        <w:separator/>
      </w:r>
    </w:p>
  </w:footnote>
  <w:footnote w:type="continuationSeparator" w:id="0">
    <w:p w14:paraId="051420EA" w14:textId="77777777" w:rsidR="00F00EDB" w:rsidRDefault="00F00EDB">
      <w:r>
        <w:continuationSeparator/>
      </w:r>
    </w:p>
  </w:footnote>
  <w:footnote w:id="1">
    <w:p w14:paraId="2D98A692" w14:textId="77777777" w:rsidR="009D78D3" w:rsidRPr="00421415" w:rsidRDefault="009D78D3" w:rsidP="009D78D3">
      <w:pPr>
        <w:pStyle w:val="FootnoteText"/>
      </w:pPr>
      <w:r w:rsidRPr="00421415">
        <w:rPr>
          <w:rStyle w:val="FootnoteReference"/>
        </w:rPr>
        <w:footnoteRef/>
      </w:r>
      <w:r w:rsidRPr="00421415">
        <w:t xml:space="preserve"> </w:t>
      </w:r>
      <w:r w:rsidRPr="004B017A">
        <w:rPr>
          <w:sz w:val="20"/>
        </w:rPr>
        <w:t xml:space="preserve">A single unit </w:t>
      </w:r>
      <w:proofErr w:type="spellStart"/>
      <w:r w:rsidRPr="004B017A">
        <w:rPr>
          <w:sz w:val="20"/>
        </w:rPr>
        <w:t>cubesat</w:t>
      </w:r>
      <w:proofErr w:type="spellEnd"/>
      <w:r w:rsidRPr="004B017A">
        <w:rPr>
          <w:sz w:val="20"/>
        </w:rPr>
        <w:t xml:space="preserve"> has the dimensions of 10x10x10 centimeters and typical mass less than 2 kilograms</w:t>
      </w:r>
      <w:r w:rsidRPr="0042141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A6C0" w14:textId="77777777" w:rsidR="00AF2EA7" w:rsidRDefault="00AF2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C8CD" w14:textId="77777777" w:rsidR="00AF2EA7" w:rsidRDefault="00AF2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021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EA6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wX6QIAAC8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JhC3BfpAgAALw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6DA87"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n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BeXCd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B8C9"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58310"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hw61DO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32A0343F" w14:textId="77777777" w:rsidR="00C41FAE" w:rsidRPr="00DF6653" w:rsidRDefault="00C41FAE">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7907"/>
    <w:rsid w:val="0006494B"/>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4202E"/>
    <w:rsid w:val="0025504C"/>
    <w:rsid w:val="002909CF"/>
    <w:rsid w:val="002A6325"/>
    <w:rsid w:val="003001F7"/>
    <w:rsid w:val="003154A6"/>
    <w:rsid w:val="0031615C"/>
    <w:rsid w:val="00357A92"/>
    <w:rsid w:val="003701A5"/>
    <w:rsid w:val="00373525"/>
    <w:rsid w:val="00375A06"/>
    <w:rsid w:val="00394C7C"/>
    <w:rsid w:val="003B26CD"/>
    <w:rsid w:val="00403B78"/>
    <w:rsid w:val="00426E20"/>
    <w:rsid w:val="004571A3"/>
    <w:rsid w:val="00471B76"/>
    <w:rsid w:val="004A7659"/>
    <w:rsid w:val="004B39D5"/>
    <w:rsid w:val="004D474D"/>
    <w:rsid w:val="004D7CD7"/>
    <w:rsid w:val="004E2D44"/>
    <w:rsid w:val="004E74AB"/>
    <w:rsid w:val="005156A2"/>
    <w:rsid w:val="005165B4"/>
    <w:rsid w:val="005175FB"/>
    <w:rsid w:val="005270F6"/>
    <w:rsid w:val="005308BE"/>
    <w:rsid w:val="005315BE"/>
    <w:rsid w:val="00532018"/>
    <w:rsid w:val="005863A9"/>
    <w:rsid w:val="005962C2"/>
    <w:rsid w:val="005A57AD"/>
    <w:rsid w:val="005B391F"/>
    <w:rsid w:val="005B5405"/>
    <w:rsid w:val="005B6C85"/>
    <w:rsid w:val="005C4FF3"/>
    <w:rsid w:val="005C60FF"/>
    <w:rsid w:val="005F3898"/>
    <w:rsid w:val="00620569"/>
    <w:rsid w:val="006445B1"/>
    <w:rsid w:val="00662EE2"/>
    <w:rsid w:val="00686D89"/>
    <w:rsid w:val="006C2785"/>
    <w:rsid w:val="006D315B"/>
    <w:rsid w:val="006D63BD"/>
    <w:rsid w:val="006F3040"/>
    <w:rsid w:val="007043EB"/>
    <w:rsid w:val="00762C5B"/>
    <w:rsid w:val="007907D1"/>
    <w:rsid w:val="007A0652"/>
    <w:rsid w:val="007C4674"/>
    <w:rsid w:val="007C70B1"/>
    <w:rsid w:val="007D71C7"/>
    <w:rsid w:val="00804806"/>
    <w:rsid w:val="00825084"/>
    <w:rsid w:val="0082548B"/>
    <w:rsid w:val="008264D0"/>
    <w:rsid w:val="008325E6"/>
    <w:rsid w:val="00835CCA"/>
    <w:rsid w:val="0084584A"/>
    <w:rsid w:val="00855704"/>
    <w:rsid w:val="00857D7C"/>
    <w:rsid w:val="008819AD"/>
    <w:rsid w:val="00897200"/>
    <w:rsid w:val="008A61D6"/>
    <w:rsid w:val="008B118F"/>
    <w:rsid w:val="008B66E9"/>
    <w:rsid w:val="008F141E"/>
    <w:rsid w:val="008F2196"/>
    <w:rsid w:val="0096041A"/>
    <w:rsid w:val="0097711D"/>
    <w:rsid w:val="009801AE"/>
    <w:rsid w:val="00982377"/>
    <w:rsid w:val="00986B91"/>
    <w:rsid w:val="009B3A2A"/>
    <w:rsid w:val="009B490B"/>
    <w:rsid w:val="009B7B6A"/>
    <w:rsid w:val="009D78D3"/>
    <w:rsid w:val="009E427F"/>
    <w:rsid w:val="009F2244"/>
    <w:rsid w:val="00A0122F"/>
    <w:rsid w:val="00A339A9"/>
    <w:rsid w:val="00A4159C"/>
    <w:rsid w:val="00A51807"/>
    <w:rsid w:val="00A6371A"/>
    <w:rsid w:val="00AA2672"/>
    <w:rsid w:val="00AB17C2"/>
    <w:rsid w:val="00AF2EA7"/>
    <w:rsid w:val="00B3194A"/>
    <w:rsid w:val="00B335FC"/>
    <w:rsid w:val="00B42446"/>
    <w:rsid w:val="00B47FB3"/>
    <w:rsid w:val="00B52A9B"/>
    <w:rsid w:val="00B64C14"/>
    <w:rsid w:val="00B71FAB"/>
    <w:rsid w:val="00B83494"/>
    <w:rsid w:val="00BC317B"/>
    <w:rsid w:val="00BF172C"/>
    <w:rsid w:val="00C00339"/>
    <w:rsid w:val="00C05C35"/>
    <w:rsid w:val="00C14398"/>
    <w:rsid w:val="00C407E9"/>
    <w:rsid w:val="00C41FAE"/>
    <w:rsid w:val="00C439D7"/>
    <w:rsid w:val="00C4512D"/>
    <w:rsid w:val="00C45E69"/>
    <w:rsid w:val="00C47412"/>
    <w:rsid w:val="00C52356"/>
    <w:rsid w:val="00C57390"/>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41667"/>
    <w:rsid w:val="00E55E58"/>
    <w:rsid w:val="00E564F7"/>
    <w:rsid w:val="00E648C4"/>
    <w:rsid w:val="00E70641"/>
    <w:rsid w:val="00E71456"/>
    <w:rsid w:val="00E879C2"/>
    <w:rsid w:val="00ED49AA"/>
    <w:rsid w:val="00EE239A"/>
    <w:rsid w:val="00EE3CD2"/>
    <w:rsid w:val="00F00EDB"/>
    <w:rsid w:val="00F41393"/>
    <w:rsid w:val="00F4553D"/>
    <w:rsid w:val="00F62A22"/>
    <w:rsid w:val="00F63C10"/>
    <w:rsid w:val="00F7531F"/>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BodyText">
    <w:name w:val="Body Text"/>
    <w:basedOn w:val="Normal"/>
    <w:link w:val="BodyTextChar"/>
    <w:rsid w:val="009D78D3"/>
    <w:pPr>
      <w:spacing w:after="120"/>
    </w:pPr>
  </w:style>
  <w:style w:type="character" w:customStyle="1" w:styleId="BodyTextChar">
    <w:name w:val="Body Text Char"/>
    <w:basedOn w:val="DefaultParagraphFont"/>
    <w:link w:val="BodyText"/>
    <w:rsid w:val="009D78D3"/>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uiPriority w:val="99"/>
    <w:rsid w:val="009D78D3"/>
    <w:rPr>
      <w:vertAlign w:val="superscript"/>
    </w:rPr>
  </w:style>
  <w:style w:type="paragraph" w:styleId="FootnoteText">
    <w:name w:val="footnote text"/>
    <w:basedOn w:val="Normal"/>
    <w:link w:val="FootnoteTextChar"/>
    <w:uiPriority w:val="99"/>
    <w:rsid w:val="009D78D3"/>
    <w:pPr>
      <w:tabs>
        <w:tab w:val="left" w:pos="720"/>
      </w:tabs>
      <w:spacing w:after="200"/>
    </w:pPr>
    <w:rPr>
      <w:sz w:val="22"/>
      <w:lang w:eastAsia="ko-KR"/>
    </w:rPr>
  </w:style>
  <w:style w:type="character" w:customStyle="1" w:styleId="FootnoteTextChar">
    <w:name w:val="Footnote Text Char"/>
    <w:basedOn w:val="DefaultParagraphFont"/>
    <w:link w:val="FootnoteText"/>
    <w:uiPriority w:val="99"/>
    <w:rsid w:val="009D78D3"/>
    <w:rPr>
      <w:sz w:val="22"/>
      <w:lang w:eastAsia="ko-KR"/>
    </w:rPr>
  </w:style>
  <w:style w:type="paragraph" w:styleId="NormalWeb">
    <w:name w:val="Normal (Web)"/>
    <w:basedOn w:val="Normal"/>
    <w:uiPriority w:val="99"/>
    <w:unhideWhenUsed/>
    <w:rsid w:val="009D78D3"/>
    <w:pPr>
      <w:spacing w:after="300" w:line="360" w:lineRule="atLeast"/>
    </w:pPr>
    <w:rPr>
      <w:color w:val="777777"/>
      <w:sz w:val="24"/>
      <w:szCs w:val="24"/>
    </w:rPr>
  </w:style>
  <w:style w:type="paragraph" w:styleId="Revision">
    <w:name w:val="Revision"/>
    <w:hidden/>
    <w:uiPriority w:val="99"/>
    <w:semiHidden/>
    <w:rsid w:val="0037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9962">
      <w:bodyDiv w:val="1"/>
      <w:marLeft w:val="0"/>
      <w:marRight w:val="0"/>
      <w:marTop w:val="0"/>
      <w:marBottom w:val="0"/>
      <w:divBdr>
        <w:top w:val="none" w:sz="0" w:space="0" w:color="auto"/>
        <w:left w:val="none" w:sz="0" w:space="0" w:color="auto"/>
        <w:bottom w:val="none" w:sz="0" w:space="0" w:color="auto"/>
        <w:right w:val="none" w:sz="0" w:space="0" w:color="auto"/>
      </w:divBdr>
    </w:div>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A03E11-AC17-40FA-89BD-C5CD3305A7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4880</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OK</dc:description>
  <cp:lastModifiedBy>Dante Ibarra IB</cp:lastModifiedBy>
  <cp:revision>3</cp:revision>
  <cp:lastPrinted>1999-10-11T18:56:00Z</cp:lastPrinted>
  <dcterms:created xsi:type="dcterms:W3CDTF">2021-10-22T19:08:00Z</dcterms:created>
  <dcterms:modified xsi:type="dcterms:W3CDTF">2021-10-22T19:31:00Z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ies>
</file>