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FF5DD6" w:rsidRPr="00F20B45" w14:paraId="4F6121A7" w14:textId="77777777" w:rsidTr="0056483D">
        <w:tc>
          <w:tcPr>
            <w:tcW w:w="6570" w:type="dxa"/>
            <w:gridSpan w:val="2"/>
          </w:tcPr>
          <w:p w14:paraId="5B4604A8" w14:textId="77777777" w:rsidR="00FF5DD6" w:rsidRPr="00F20B45" w:rsidRDefault="00FF5DD6" w:rsidP="0056483D">
            <w:pPr>
              <w:tabs>
                <w:tab w:val="clear" w:pos="1134"/>
                <w:tab w:val="clear" w:pos="1871"/>
                <w:tab w:val="clear" w:pos="2268"/>
              </w:tabs>
              <w:overflowPunct/>
              <w:autoSpaceDE/>
              <w:autoSpaceDN/>
              <w:adjustRightInd/>
              <w:spacing w:before="0"/>
              <w:textAlignment w:val="auto"/>
              <w:rPr>
                <w:rFonts w:eastAsia="BatangChe"/>
                <w:b/>
                <w:sz w:val="22"/>
                <w:szCs w:val="22"/>
                <w:lang w:val="en-US"/>
              </w:rPr>
            </w:pPr>
            <w:r w:rsidRPr="00F20B45">
              <w:rPr>
                <w:rFonts w:eastAsia="BatangChe"/>
                <w:b/>
                <w:sz w:val="22"/>
                <w:szCs w:val="22"/>
                <w:lang w:val="en-US"/>
              </w:rPr>
              <w:t>34 MEETING OF PERMANENT</w:t>
            </w:r>
          </w:p>
          <w:p w14:paraId="282D99BE" w14:textId="77777777" w:rsidR="00FF5DD6" w:rsidRPr="00F20B45" w:rsidRDefault="00FF5DD6" w:rsidP="0056483D">
            <w:pPr>
              <w:tabs>
                <w:tab w:val="clear" w:pos="1134"/>
                <w:tab w:val="clear" w:pos="1871"/>
                <w:tab w:val="clear" w:pos="2268"/>
              </w:tabs>
              <w:overflowPunct/>
              <w:autoSpaceDE/>
              <w:autoSpaceDN/>
              <w:adjustRightInd/>
              <w:spacing w:before="0"/>
              <w:textAlignment w:val="auto"/>
              <w:rPr>
                <w:rFonts w:eastAsia="BatangChe"/>
                <w:b/>
                <w:sz w:val="22"/>
                <w:szCs w:val="22"/>
                <w:lang w:val="en-US"/>
              </w:rPr>
            </w:pPr>
            <w:r w:rsidRPr="00F20B45">
              <w:rPr>
                <w:rFonts w:eastAsia="BatangChe"/>
                <w:b/>
                <w:sz w:val="22"/>
                <w:szCs w:val="22"/>
                <w:lang w:val="en-US"/>
              </w:rPr>
              <w:t>CONSULTATIVE COMMITTEE II:</w:t>
            </w:r>
          </w:p>
          <w:p w14:paraId="786FD966" w14:textId="77777777" w:rsidR="00FF5DD6" w:rsidRPr="00F20B45" w:rsidRDefault="00FF5DD6" w:rsidP="0056483D">
            <w:pPr>
              <w:tabs>
                <w:tab w:val="clear" w:pos="1134"/>
                <w:tab w:val="clear" w:pos="1871"/>
                <w:tab w:val="clear" w:pos="2268"/>
              </w:tabs>
              <w:overflowPunct/>
              <w:autoSpaceDE/>
              <w:autoSpaceDN/>
              <w:adjustRightInd/>
              <w:spacing w:before="0"/>
              <w:textAlignment w:val="auto"/>
              <w:rPr>
                <w:rFonts w:eastAsia="BatangChe"/>
                <w:b/>
                <w:sz w:val="22"/>
                <w:szCs w:val="22"/>
                <w:lang w:val="en-US"/>
              </w:rPr>
            </w:pPr>
            <w:r w:rsidRPr="00F20B45">
              <w:rPr>
                <w:rFonts w:eastAsia="BatangChe"/>
                <w:b/>
                <w:sz w:val="22"/>
                <w:szCs w:val="22"/>
                <w:lang w:val="en-US"/>
              </w:rPr>
              <w:t>RADIOCOMMUNICATIONS</w:t>
            </w:r>
          </w:p>
          <w:p w14:paraId="75F413EA" w14:textId="77777777" w:rsidR="00FF5DD6" w:rsidRPr="00F20B45" w:rsidRDefault="00FF5DD6" w:rsidP="0056483D">
            <w:pPr>
              <w:tabs>
                <w:tab w:val="clear" w:pos="1134"/>
                <w:tab w:val="clear" w:pos="1871"/>
                <w:tab w:val="clear" w:pos="2268"/>
              </w:tabs>
              <w:overflowPunct/>
              <w:autoSpaceDE/>
              <w:autoSpaceDN/>
              <w:adjustRightInd/>
              <w:spacing w:before="0"/>
              <w:textAlignment w:val="auto"/>
              <w:rPr>
                <w:rFonts w:eastAsia="BatangChe"/>
                <w:b/>
                <w:sz w:val="22"/>
                <w:szCs w:val="22"/>
                <w:lang w:val="en-US"/>
              </w:rPr>
            </w:pPr>
            <w:r w:rsidRPr="00F20B45">
              <w:rPr>
                <w:rFonts w:eastAsia="BatangChe"/>
                <w:b/>
                <w:sz w:val="22"/>
                <w:szCs w:val="22"/>
                <w:lang w:val="en-US"/>
              </w:rPr>
              <w:t>August 12 to 16, 2019</w:t>
            </w:r>
          </w:p>
          <w:p w14:paraId="2FACED92" w14:textId="77777777" w:rsidR="00FF5DD6" w:rsidRPr="00F20B45" w:rsidRDefault="00FF5DD6" w:rsidP="0056483D">
            <w:pPr>
              <w:tabs>
                <w:tab w:val="clear" w:pos="1134"/>
                <w:tab w:val="clear" w:pos="1871"/>
                <w:tab w:val="clear" w:pos="2268"/>
              </w:tabs>
              <w:overflowPunct/>
              <w:autoSpaceDE/>
              <w:autoSpaceDN/>
              <w:adjustRightInd/>
              <w:spacing w:before="0"/>
              <w:textAlignment w:val="auto"/>
              <w:rPr>
                <w:rFonts w:eastAsia="BatangChe"/>
                <w:b/>
                <w:sz w:val="22"/>
                <w:szCs w:val="22"/>
                <w:lang w:val="en-US"/>
              </w:rPr>
            </w:pPr>
            <w:r w:rsidRPr="00F20B45">
              <w:rPr>
                <w:rFonts w:eastAsia="BatangChe"/>
                <w:b/>
                <w:sz w:val="22"/>
                <w:szCs w:val="22"/>
                <w:lang w:val="en-US"/>
              </w:rPr>
              <w:t>Ottawa, Ontario, Canada</w:t>
            </w:r>
          </w:p>
        </w:tc>
        <w:tc>
          <w:tcPr>
            <w:tcW w:w="3600" w:type="dxa"/>
            <w:gridSpan w:val="2"/>
          </w:tcPr>
          <w:p w14:paraId="1822D3BB" w14:textId="77777777" w:rsidR="00FF5DD6" w:rsidRPr="00F20B45" w:rsidRDefault="00FF5DD6" w:rsidP="0056483D">
            <w:pPr>
              <w:tabs>
                <w:tab w:val="clear" w:pos="1134"/>
                <w:tab w:val="clear" w:pos="1871"/>
                <w:tab w:val="clear" w:pos="2268"/>
              </w:tabs>
              <w:overflowPunct/>
              <w:autoSpaceDE/>
              <w:autoSpaceDN/>
              <w:adjustRightInd/>
              <w:spacing w:before="0"/>
              <w:textAlignment w:val="auto"/>
              <w:rPr>
                <w:rFonts w:eastAsia="BatangChe"/>
                <w:b/>
                <w:sz w:val="22"/>
                <w:szCs w:val="22"/>
                <w:lang w:val="en-US"/>
              </w:rPr>
            </w:pPr>
            <w:r w:rsidRPr="00F20B45">
              <w:rPr>
                <w:rFonts w:eastAsia="BatangChe"/>
                <w:b/>
                <w:sz w:val="22"/>
                <w:szCs w:val="22"/>
                <w:lang w:val="en-US"/>
              </w:rPr>
              <w:t>OEA/Ser.L/XVII.4.2.34</w:t>
            </w:r>
          </w:p>
          <w:p w14:paraId="0B2170AC" w14:textId="77777777" w:rsidR="00FF5DD6" w:rsidRPr="00F20B45" w:rsidRDefault="00FF5DD6" w:rsidP="0056483D">
            <w:pPr>
              <w:tabs>
                <w:tab w:val="clear" w:pos="1134"/>
                <w:tab w:val="clear" w:pos="1871"/>
                <w:tab w:val="clear" w:pos="2268"/>
              </w:tabs>
              <w:overflowPunct/>
              <w:autoSpaceDE/>
              <w:autoSpaceDN/>
              <w:adjustRightInd/>
              <w:spacing w:before="0"/>
              <w:textAlignment w:val="auto"/>
              <w:rPr>
                <w:rFonts w:eastAsia="BatangChe"/>
                <w:b/>
                <w:sz w:val="22"/>
                <w:szCs w:val="22"/>
                <w:lang w:val="pt-BR"/>
              </w:rPr>
            </w:pPr>
            <w:r w:rsidRPr="00F20B45">
              <w:rPr>
                <w:rFonts w:eastAsia="BatangChe"/>
                <w:b/>
                <w:sz w:val="22"/>
                <w:szCs w:val="22"/>
                <w:lang w:val="en-US"/>
              </w:rPr>
              <w:t>CCP.II-RADIO/doc</w:t>
            </w:r>
            <w:r w:rsidRPr="002A5507">
              <w:rPr>
                <w:rFonts w:eastAsia="BatangChe"/>
                <w:b/>
                <w:sz w:val="22"/>
                <w:szCs w:val="22"/>
                <w:lang w:val="en-US"/>
              </w:rPr>
              <w:t xml:space="preserve">. </w:t>
            </w:r>
            <w:r w:rsidRPr="002A5507">
              <w:rPr>
                <w:rFonts w:eastAsia="BatangChe"/>
                <w:b/>
                <w:sz w:val="22"/>
                <w:szCs w:val="22"/>
                <w:lang w:val="en-US"/>
              </w:rPr>
              <w:fldChar w:fldCharType="begin"/>
            </w:r>
            <w:r w:rsidRPr="002A5507">
              <w:rPr>
                <w:rFonts w:eastAsia="BatangChe"/>
                <w:b/>
                <w:sz w:val="22"/>
                <w:szCs w:val="22"/>
                <w:lang w:val="en-US"/>
              </w:rPr>
              <w:instrText xml:space="preserve"> MACROBUTTON NoMacro [Aquí nro.] </w:instrText>
            </w:r>
            <w:r w:rsidRPr="002A5507">
              <w:rPr>
                <w:rFonts w:eastAsia="BatangChe"/>
                <w:b/>
                <w:sz w:val="22"/>
                <w:szCs w:val="22"/>
                <w:lang w:val="en-US"/>
              </w:rPr>
              <w:fldChar w:fldCharType="end"/>
            </w:r>
            <w:r w:rsidRPr="00F20B45">
              <w:rPr>
                <w:rFonts w:eastAsia="BatangChe"/>
                <w:b/>
                <w:sz w:val="22"/>
                <w:szCs w:val="22"/>
                <w:lang w:val="pt-BR"/>
              </w:rPr>
              <w:t>/19</w:t>
            </w:r>
          </w:p>
          <w:p w14:paraId="1CEC31C1" w14:textId="21F8F5A9" w:rsidR="00FF5DD6" w:rsidRPr="00F20B45" w:rsidRDefault="00FF5DD6" w:rsidP="0056483D">
            <w:pPr>
              <w:tabs>
                <w:tab w:val="clear" w:pos="1134"/>
                <w:tab w:val="clear" w:pos="1871"/>
                <w:tab w:val="clear" w:pos="2268"/>
              </w:tabs>
              <w:overflowPunct/>
              <w:autoSpaceDE/>
              <w:autoSpaceDN/>
              <w:adjustRightInd/>
              <w:spacing w:before="0"/>
              <w:textAlignment w:val="auto"/>
              <w:rPr>
                <w:rFonts w:eastAsia="BatangChe"/>
                <w:b/>
                <w:sz w:val="22"/>
                <w:szCs w:val="22"/>
                <w:lang w:val="pt-BR"/>
              </w:rPr>
            </w:pPr>
            <w:r w:rsidRPr="00F20B45">
              <w:rPr>
                <w:rFonts w:eastAsia="BatangChe"/>
                <w:b/>
                <w:sz w:val="22"/>
                <w:szCs w:val="22"/>
                <w:lang w:val="en-US"/>
              </w:rPr>
              <w:fldChar w:fldCharType="begin"/>
            </w:r>
            <w:r w:rsidRPr="00F20B45">
              <w:rPr>
                <w:rFonts w:eastAsia="BatangChe"/>
                <w:b/>
                <w:sz w:val="22"/>
                <w:szCs w:val="22"/>
                <w:lang w:val="en-US"/>
              </w:rPr>
              <w:instrText xml:space="preserve"> createdate \@ "d MMMM yyyy" </w:instrText>
            </w:r>
            <w:r w:rsidRPr="00F20B45">
              <w:rPr>
                <w:rFonts w:eastAsia="BatangChe"/>
                <w:b/>
                <w:sz w:val="22"/>
                <w:szCs w:val="22"/>
                <w:lang w:val="en-US"/>
              </w:rPr>
              <w:fldChar w:fldCharType="separate"/>
            </w:r>
            <w:r w:rsidR="00D84F33">
              <w:rPr>
                <w:rFonts w:eastAsia="BatangChe"/>
                <w:b/>
                <w:noProof/>
                <w:sz w:val="22"/>
                <w:szCs w:val="22"/>
                <w:lang w:val="en-US"/>
              </w:rPr>
              <w:t>19 July 2019</w:t>
            </w:r>
            <w:r w:rsidRPr="00F20B45">
              <w:rPr>
                <w:rFonts w:eastAsia="BatangChe"/>
                <w:b/>
                <w:sz w:val="22"/>
                <w:szCs w:val="22"/>
                <w:lang w:val="en-US"/>
              </w:rPr>
              <w:fldChar w:fldCharType="end"/>
            </w:r>
          </w:p>
          <w:p w14:paraId="2C3D8697" w14:textId="77777777" w:rsidR="00FF5DD6" w:rsidRPr="00F20B45" w:rsidRDefault="00FF5DD6" w:rsidP="0056483D">
            <w:pPr>
              <w:tabs>
                <w:tab w:val="clear" w:pos="1134"/>
                <w:tab w:val="clear" w:pos="1871"/>
                <w:tab w:val="clear" w:pos="2268"/>
              </w:tabs>
              <w:overflowPunct/>
              <w:autoSpaceDE/>
              <w:autoSpaceDN/>
              <w:adjustRightInd/>
              <w:spacing w:before="0"/>
              <w:textAlignment w:val="auto"/>
              <w:rPr>
                <w:rFonts w:eastAsia="BatangChe"/>
                <w:b/>
                <w:sz w:val="22"/>
                <w:szCs w:val="22"/>
                <w:lang w:val="en-US"/>
              </w:rPr>
            </w:pPr>
            <w:r w:rsidRPr="00F20B45">
              <w:rPr>
                <w:rFonts w:eastAsia="BatangChe"/>
                <w:b/>
                <w:sz w:val="22"/>
                <w:szCs w:val="22"/>
                <w:lang w:val="en-US"/>
              </w:rPr>
              <w:t>Original: English</w:t>
            </w:r>
          </w:p>
        </w:tc>
      </w:tr>
      <w:tr w:rsidR="00FF5DD6" w:rsidRPr="00F20B45" w14:paraId="778EA403" w14:textId="77777777" w:rsidTr="0056483D">
        <w:trPr>
          <w:cantSplit/>
        </w:trPr>
        <w:tc>
          <w:tcPr>
            <w:tcW w:w="10170" w:type="dxa"/>
            <w:gridSpan w:val="4"/>
          </w:tcPr>
          <w:p w14:paraId="5C54D27E" w14:textId="77777777" w:rsidR="00FF5DD6" w:rsidRPr="00F20B45" w:rsidRDefault="00FF5DD6" w:rsidP="0056483D">
            <w:pPr>
              <w:tabs>
                <w:tab w:val="clear" w:pos="1134"/>
                <w:tab w:val="clear" w:pos="1871"/>
                <w:tab w:val="clear" w:pos="2268"/>
              </w:tabs>
              <w:overflowPunct/>
              <w:autoSpaceDE/>
              <w:autoSpaceDN/>
              <w:adjustRightInd/>
              <w:spacing w:before="0"/>
              <w:textAlignment w:val="auto"/>
              <w:rPr>
                <w:rFonts w:eastAsia="BatangChe"/>
                <w:b/>
                <w:sz w:val="22"/>
                <w:szCs w:val="24"/>
                <w:lang w:val="en-US"/>
              </w:rPr>
            </w:pPr>
          </w:p>
          <w:p w14:paraId="3D1C08E9" w14:textId="77777777" w:rsidR="00FF5DD6" w:rsidRPr="00F20B45" w:rsidRDefault="00FF5DD6" w:rsidP="0056483D">
            <w:pPr>
              <w:tabs>
                <w:tab w:val="clear" w:pos="1134"/>
                <w:tab w:val="clear" w:pos="1871"/>
                <w:tab w:val="clear" w:pos="2268"/>
              </w:tabs>
              <w:overflowPunct/>
              <w:autoSpaceDE/>
              <w:autoSpaceDN/>
              <w:adjustRightInd/>
              <w:spacing w:before="0"/>
              <w:textAlignment w:val="auto"/>
              <w:rPr>
                <w:rFonts w:eastAsia="BatangChe"/>
                <w:b/>
                <w:sz w:val="22"/>
                <w:szCs w:val="24"/>
                <w:lang w:val="en-US"/>
              </w:rPr>
            </w:pPr>
          </w:p>
        </w:tc>
      </w:tr>
      <w:tr w:rsidR="00FF5DD6" w:rsidRPr="00F20B45" w14:paraId="283EF2FB" w14:textId="77777777" w:rsidTr="0056483D">
        <w:trPr>
          <w:gridAfter w:val="1"/>
          <w:wAfter w:w="1620" w:type="dxa"/>
          <w:cantSplit/>
          <w:trHeight w:val="257"/>
        </w:trPr>
        <w:tc>
          <w:tcPr>
            <w:tcW w:w="1620" w:type="dxa"/>
          </w:tcPr>
          <w:p w14:paraId="36371155" w14:textId="77777777" w:rsidR="00FF5DD6" w:rsidRPr="00F20B45" w:rsidRDefault="00FF5DD6" w:rsidP="0056483D">
            <w:pPr>
              <w:tabs>
                <w:tab w:val="clear" w:pos="1134"/>
                <w:tab w:val="clear" w:pos="1871"/>
                <w:tab w:val="clear" w:pos="2268"/>
              </w:tabs>
              <w:overflowPunct/>
              <w:autoSpaceDE/>
              <w:autoSpaceDN/>
              <w:adjustRightInd/>
              <w:spacing w:before="0"/>
              <w:jc w:val="center"/>
              <w:textAlignment w:val="auto"/>
              <w:rPr>
                <w:rFonts w:eastAsia="BatangChe"/>
                <w:b/>
                <w:szCs w:val="24"/>
                <w:lang w:val="en-US"/>
              </w:rPr>
            </w:pPr>
          </w:p>
        </w:tc>
        <w:tc>
          <w:tcPr>
            <w:tcW w:w="6930" w:type="dxa"/>
            <w:gridSpan w:val="2"/>
          </w:tcPr>
          <w:p w14:paraId="79A0C8A9" w14:textId="3AB24BA4" w:rsidR="00FF5DD6" w:rsidRPr="00F20B45" w:rsidRDefault="00FF5DD6" w:rsidP="0056483D">
            <w:pPr>
              <w:tabs>
                <w:tab w:val="clear" w:pos="1134"/>
                <w:tab w:val="clear" w:pos="1871"/>
                <w:tab w:val="clear" w:pos="2268"/>
              </w:tabs>
              <w:overflowPunct/>
              <w:autoSpaceDE/>
              <w:autoSpaceDN/>
              <w:adjustRightInd/>
              <w:spacing w:before="0"/>
              <w:jc w:val="center"/>
              <w:textAlignment w:val="auto"/>
              <w:rPr>
                <w:rFonts w:eastAsia="BatangChe"/>
                <w:b/>
                <w:szCs w:val="24"/>
                <w:lang w:val="es-UY"/>
              </w:rPr>
            </w:pPr>
            <w:r w:rsidRPr="00F20B45">
              <w:rPr>
                <w:rFonts w:eastAsia="BatangChe"/>
                <w:b/>
                <w:szCs w:val="24"/>
                <w:lang w:val="es-UY"/>
              </w:rPr>
              <w:t xml:space="preserve">PRELIMINARY PROPOSAL FOR WRC-19 ON AGENDA ITEM 10:  </w:t>
            </w:r>
            <w:r w:rsidR="00D84F33">
              <w:rPr>
                <w:rFonts w:eastAsia="BatangChe"/>
                <w:b/>
                <w:szCs w:val="24"/>
                <w:lang w:val="es-UY"/>
              </w:rPr>
              <w:t>Inter-satellite Links</w:t>
            </w:r>
          </w:p>
        </w:tc>
      </w:tr>
      <w:tr w:rsidR="00FF5DD6" w:rsidRPr="00F20B45" w14:paraId="63CAA645" w14:textId="77777777" w:rsidTr="0056483D">
        <w:trPr>
          <w:gridAfter w:val="1"/>
          <w:wAfter w:w="1620" w:type="dxa"/>
          <w:cantSplit/>
          <w:trHeight w:val="257"/>
        </w:trPr>
        <w:tc>
          <w:tcPr>
            <w:tcW w:w="1620" w:type="dxa"/>
          </w:tcPr>
          <w:p w14:paraId="11FC5D21" w14:textId="77777777" w:rsidR="00FF5DD6" w:rsidRPr="00F20B45" w:rsidRDefault="00FF5DD6" w:rsidP="0056483D">
            <w:pPr>
              <w:tabs>
                <w:tab w:val="clear" w:pos="1134"/>
                <w:tab w:val="clear" w:pos="1871"/>
                <w:tab w:val="clear" w:pos="2268"/>
              </w:tabs>
              <w:overflowPunct/>
              <w:autoSpaceDE/>
              <w:autoSpaceDN/>
              <w:adjustRightInd/>
              <w:spacing w:before="0"/>
              <w:jc w:val="center"/>
              <w:textAlignment w:val="auto"/>
              <w:rPr>
                <w:rFonts w:eastAsia="BatangChe"/>
                <w:b/>
                <w:szCs w:val="24"/>
                <w:lang w:val="en-US"/>
              </w:rPr>
            </w:pPr>
          </w:p>
        </w:tc>
        <w:tc>
          <w:tcPr>
            <w:tcW w:w="6930" w:type="dxa"/>
            <w:gridSpan w:val="2"/>
          </w:tcPr>
          <w:p w14:paraId="198D7B94" w14:textId="77777777" w:rsidR="00FF5DD6" w:rsidRPr="00F20B45" w:rsidRDefault="00FF5DD6" w:rsidP="0056483D">
            <w:pPr>
              <w:tabs>
                <w:tab w:val="clear" w:pos="1134"/>
                <w:tab w:val="clear" w:pos="1871"/>
                <w:tab w:val="clear" w:pos="2268"/>
              </w:tabs>
              <w:overflowPunct/>
              <w:autoSpaceDE/>
              <w:autoSpaceDN/>
              <w:adjustRightInd/>
              <w:spacing w:before="0"/>
              <w:jc w:val="center"/>
              <w:textAlignment w:val="auto"/>
              <w:rPr>
                <w:rFonts w:eastAsia="BatangChe"/>
                <w:b/>
                <w:szCs w:val="24"/>
                <w:lang w:val="en-US"/>
              </w:rPr>
            </w:pPr>
            <w:r w:rsidRPr="00F20B45">
              <w:rPr>
                <w:rFonts w:eastAsia="BatangChe"/>
                <w:b/>
                <w:szCs w:val="24"/>
                <w:lang w:val="es-UY"/>
              </w:rPr>
              <w:t>(Item on the Agenda: 3.1)</w:t>
            </w:r>
          </w:p>
        </w:tc>
      </w:tr>
      <w:tr w:rsidR="00FF5DD6" w:rsidRPr="00F20B45" w14:paraId="1E909880" w14:textId="77777777" w:rsidTr="0056483D">
        <w:trPr>
          <w:gridAfter w:val="1"/>
          <w:wAfter w:w="1620" w:type="dxa"/>
          <w:cantSplit/>
          <w:trHeight w:val="257"/>
        </w:trPr>
        <w:tc>
          <w:tcPr>
            <w:tcW w:w="1620" w:type="dxa"/>
            <w:tcBorders>
              <w:bottom w:val="nil"/>
            </w:tcBorders>
          </w:tcPr>
          <w:p w14:paraId="7059862C" w14:textId="77777777" w:rsidR="00FF5DD6" w:rsidRPr="00F20B45" w:rsidRDefault="00FF5DD6" w:rsidP="0056483D">
            <w:pPr>
              <w:tabs>
                <w:tab w:val="clear" w:pos="1134"/>
                <w:tab w:val="clear" w:pos="1871"/>
                <w:tab w:val="clear" w:pos="2268"/>
              </w:tabs>
              <w:overflowPunct/>
              <w:autoSpaceDE/>
              <w:autoSpaceDN/>
              <w:adjustRightInd/>
              <w:spacing w:before="0"/>
              <w:jc w:val="center"/>
              <w:textAlignment w:val="auto"/>
              <w:rPr>
                <w:rFonts w:eastAsia="BatangChe"/>
                <w:b/>
                <w:szCs w:val="24"/>
                <w:lang w:val="en-US"/>
              </w:rPr>
            </w:pPr>
          </w:p>
        </w:tc>
        <w:tc>
          <w:tcPr>
            <w:tcW w:w="6930" w:type="dxa"/>
            <w:gridSpan w:val="2"/>
            <w:tcBorders>
              <w:bottom w:val="nil"/>
            </w:tcBorders>
          </w:tcPr>
          <w:p w14:paraId="357D2F69" w14:textId="77777777" w:rsidR="00FF5DD6" w:rsidRPr="00F20B45" w:rsidRDefault="00FF5DD6" w:rsidP="0056483D">
            <w:pPr>
              <w:tabs>
                <w:tab w:val="clear" w:pos="1134"/>
                <w:tab w:val="clear" w:pos="1871"/>
                <w:tab w:val="clear" w:pos="2268"/>
              </w:tabs>
              <w:overflowPunct/>
              <w:autoSpaceDE/>
              <w:autoSpaceDN/>
              <w:adjustRightInd/>
              <w:spacing w:before="0"/>
              <w:jc w:val="center"/>
              <w:textAlignment w:val="auto"/>
              <w:rPr>
                <w:rFonts w:eastAsia="BatangChe"/>
                <w:b/>
                <w:szCs w:val="24"/>
                <w:lang w:val="en-US"/>
              </w:rPr>
            </w:pPr>
            <w:r w:rsidRPr="00F20B45">
              <w:rPr>
                <w:rFonts w:eastAsia="BatangChe"/>
                <w:b/>
                <w:szCs w:val="24"/>
                <w:lang w:val="es-UY"/>
              </w:rPr>
              <w:t>(Document submitted by the delegation of the United States of America)</w:t>
            </w:r>
          </w:p>
        </w:tc>
      </w:tr>
    </w:tbl>
    <w:p w14:paraId="2C3739AC" w14:textId="77777777" w:rsidR="00FF5DD6" w:rsidRPr="00F20B45" w:rsidRDefault="00FF5DD6" w:rsidP="00FF5DD6">
      <w:pPr>
        <w:tabs>
          <w:tab w:val="clear" w:pos="1134"/>
          <w:tab w:val="clear" w:pos="1871"/>
          <w:tab w:val="clear" w:pos="2268"/>
        </w:tabs>
        <w:overflowPunct/>
        <w:autoSpaceDE/>
        <w:autoSpaceDN/>
        <w:adjustRightInd/>
        <w:spacing w:before="0"/>
        <w:textAlignment w:val="auto"/>
        <w:rPr>
          <w:rFonts w:eastAsia="MS Mincho"/>
          <w:b/>
          <w:sz w:val="28"/>
          <w:szCs w:val="28"/>
          <w:lang w:val="en-US" w:eastAsia="ja-JP"/>
        </w:rPr>
      </w:pPr>
    </w:p>
    <w:p w14:paraId="5DAC46C9" w14:textId="77777777" w:rsidR="00FF5DD6" w:rsidRPr="00F20B45" w:rsidRDefault="00FF5DD6" w:rsidP="00FF5DD6">
      <w:pPr>
        <w:tabs>
          <w:tab w:val="clear" w:pos="1134"/>
          <w:tab w:val="clear" w:pos="1871"/>
          <w:tab w:val="clear" w:pos="2268"/>
        </w:tabs>
        <w:overflowPunct/>
        <w:autoSpaceDE/>
        <w:autoSpaceDN/>
        <w:adjustRightInd/>
        <w:spacing w:before="0"/>
        <w:textAlignment w:val="auto"/>
        <w:rPr>
          <w:rFonts w:eastAsia="MS Mincho"/>
          <w:b/>
          <w:sz w:val="28"/>
          <w:szCs w:val="28"/>
          <w:lang w:val="en-US" w:eastAsia="ja-JP"/>
        </w:rPr>
      </w:pPr>
    </w:p>
    <w:p w14:paraId="35247BEA" w14:textId="77777777" w:rsidR="00FF5DD6" w:rsidRPr="00F20B45" w:rsidRDefault="00FF5DD6" w:rsidP="00FF5DD6">
      <w:pPr>
        <w:tabs>
          <w:tab w:val="clear" w:pos="1134"/>
          <w:tab w:val="clear" w:pos="1871"/>
          <w:tab w:val="clear" w:pos="2268"/>
        </w:tabs>
        <w:overflowPunct/>
        <w:autoSpaceDE/>
        <w:autoSpaceDN/>
        <w:adjustRightInd/>
        <w:spacing w:before="0"/>
        <w:textAlignment w:val="auto"/>
        <w:rPr>
          <w:rFonts w:eastAsia="MS Mincho"/>
          <w:b/>
          <w:sz w:val="28"/>
          <w:szCs w:val="28"/>
          <w:lang w:val="en-US" w:eastAsia="ja-JP"/>
        </w:rPr>
      </w:pPr>
    </w:p>
    <w:p w14:paraId="53B29341" w14:textId="77777777" w:rsidR="00FF5DD6" w:rsidRPr="00F20B45" w:rsidRDefault="00FF5DD6" w:rsidP="00FF5DD6">
      <w:pPr>
        <w:tabs>
          <w:tab w:val="clear" w:pos="1134"/>
          <w:tab w:val="clear" w:pos="1871"/>
          <w:tab w:val="clear" w:pos="2268"/>
        </w:tabs>
        <w:overflowPunct/>
        <w:autoSpaceDE/>
        <w:autoSpaceDN/>
        <w:adjustRightInd/>
        <w:spacing w:before="0"/>
        <w:jc w:val="both"/>
        <w:textAlignment w:val="auto"/>
        <w:rPr>
          <w:rFonts w:eastAsia="BatangChe"/>
          <w:b/>
          <w:sz w:val="22"/>
          <w:szCs w:val="22"/>
          <w:lang w:val="en-US"/>
        </w:rPr>
      </w:pPr>
      <w:r w:rsidRPr="00F20B45">
        <w:rPr>
          <w:rFonts w:eastAsia="BatangChe"/>
          <w:b/>
          <w:sz w:val="22"/>
          <w:szCs w:val="22"/>
          <w:lang w:val="en-US"/>
        </w:rPr>
        <w:t>Introduction</w:t>
      </w:r>
    </w:p>
    <w:p w14:paraId="04C7F6E3" w14:textId="77777777" w:rsidR="00FF5DD6" w:rsidRPr="00F20B45" w:rsidRDefault="00FF5DD6" w:rsidP="00FF5DD6">
      <w:pPr>
        <w:tabs>
          <w:tab w:val="clear" w:pos="1134"/>
          <w:tab w:val="clear" w:pos="1871"/>
          <w:tab w:val="clear" w:pos="2268"/>
        </w:tabs>
        <w:overflowPunct/>
        <w:autoSpaceDE/>
        <w:autoSpaceDN/>
        <w:adjustRightInd/>
        <w:spacing w:before="0"/>
        <w:jc w:val="both"/>
        <w:textAlignment w:val="auto"/>
        <w:rPr>
          <w:rFonts w:eastAsia="BatangChe"/>
          <w:b/>
          <w:sz w:val="22"/>
          <w:szCs w:val="22"/>
          <w:lang w:val="en-US"/>
        </w:rPr>
      </w:pPr>
    </w:p>
    <w:p w14:paraId="065726E1" w14:textId="622673AE" w:rsidR="00FF5DD6" w:rsidRPr="00D84F33" w:rsidRDefault="00FF5DD6" w:rsidP="00FF5DD6">
      <w:pPr>
        <w:overflowPunct/>
        <w:autoSpaceDE/>
        <w:autoSpaceDN/>
        <w:adjustRightInd/>
        <w:textAlignment w:val="auto"/>
        <w:rPr>
          <w:szCs w:val="24"/>
        </w:rPr>
      </w:pPr>
      <w:r w:rsidRPr="00D84F33">
        <w:rPr>
          <w:rFonts w:eastAsia="BatangChe"/>
          <w:szCs w:val="24"/>
          <w:lang w:val="en-US"/>
        </w:rPr>
        <w:t xml:space="preserve">WRC-19 agenda item 10, recommends to Council items to include in the agenda for the next WRC, and to give its views on the preliminary agenda for the subsequent conference and on possible items for future conferences, in accordance with Article 7 of the Convention.  For this agenda item, the United States offers to CITEL PCC.II the included preliminary proposal for the WRC-23 agenda </w:t>
      </w:r>
      <w:r w:rsidRPr="00D84F33">
        <w:rPr>
          <w:szCs w:val="24"/>
        </w:rPr>
        <w:t xml:space="preserve">to consider, on the basis of ITU-R studies, </w:t>
      </w:r>
      <w:r w:rsidR="00D84F33" w:rsidRPr="00D84F33">
        <w:rPr>
          <w:color w:val="000000"/>
          <w:szCs w:val="24"/>
          <w:lang w:val="en-US"/>
        </w:rPr>
        <w:t xml:space="preserve">to identify the cases and regulatory conditions under which space-to-space transmissions </w:t>
      </w:r>
      <w:r w:rsidR="002354EB" w:rsidRPr="009D20BD">
        <w:rPr>
          <w:color w:val="000000"/>
        </w:rPr>
        <w:t>in the same direction (Earth-to-space or space-to-Earth) as the current satellite service allocations,</w:t>
      </w:r>
      <w:r w:rsidR="002354EB">
        <w:rPr>
          <w:color w:val="000000"/>
        </w:rPr>
        <w:t xml:space="preserve"> </w:t>
      </w:r>
      <w:r w:rsidR="00D84F33" w:rsidRPr="00D84F33">
        <w:rPr>
          <w:color w:val="000000"/>
          <w:szCs w:val="24"/>
          <w:lang w:val="en-US"/>
        </w:rPr>
        <w:t>between non-geostationary orbit (non-GSO) space stations</w:t>
      </w:r>
      <w:r w:rsidR="002354EB">
        <w:rPr>
          <w:color w:val="000000"/>
          <w:szCs w:val="24"/>
          <w:lang w:val="en-US"/>
        </w:rPr>
        <w:t xml:space="preserve"> at different orbital altitudes</w:t>
      </w:r>
      <w:r w:rsidR="00D84F33" w:rsidRPr="00D84F33">
        <w:rPr>
          <w:color w:val="000000"/>
          <w:szCs w:val="24"/>
          <w:lang w:val="en-US"/>
        </w:rPr>
        <w:t xml:space="preserve"> </w:t>
      </w:r>
      <w:r w:rsidR="002354EB">
        <w:rPr>
          <w:color w:val="000000"/>
          <w:szCs w:val="24"/>
          <w:lang w:val="en-US"/>
        </w:rPr>
        <w:t>or between</w:t>
      </w:r>
      <w:r w:rsidR="002354EB" w:rsidRPr="00D84F33">
        <w:rPr>
          <w:color w:val="000000"/>
          <w:szCs w:val="24"/>
          <w:lang w:val="en-US"/>
        </w:rPr>
        <w:t xml:space="preserve"> </w:t>
      </w:r>
      <w:r w:rsidR="00D84F33" w:rsidRPr="00D84F33">
        <w:rPr>
          <w:color w:val="000000"/>
          <w:szCs w:val="24"/>
          <w:lang w:val="en-US"/>
        </w:rPr>
        <w:t xml:space="preserve">non-GSO </w:t>
      </w:r>
      <w:r w:rsidR="002354EB">
        <w:rPr>
          <w:color w:val="000000"/>
          <w:szCs w:val="24"/>
          <w:lang w:val="en-US"/>
        </w:rPr>
        <w:t>and</w:t>
      </w:r>
      <w:r w:rsidR="002354EB" w:rsidRPr="00D84F33">
        <w:rPr>
          <w:color w:val="000000"/>
          <w:szCs w:val="24"/>
          <w:lang w:val="en-US"/>
        </w:rPr>
        <w:t xml:space="preserve"> </w:t>
      </w:r>
      <w:r w:rsidR="00D84F33" w:rsidRPr="00D84F33">
        <w:rPr>
          <w:color w:val="000000"/>
          <w:szCs w:val="24"/>
          <w:lang w:val="en-US"/>
        </w:rPr>
        <w:t xml:space="preserve">geostationary orbit </w:t>
      </w:r>
      <w:r w:rsidR="003A1170">
        <w:rPr>
          <w:color w:val="000000"/>
          <w:szCs w:val="24"/>
          <w:lang w:val="en-US"/>
        </w:rPr>
        <w:t xml:space="preserve">(GSO) </w:t>
      </w:r>
      <w:r w:rsidR="00D84F33" w:rsidRPr="00D84F33">
        <w:rPr>
          <w:color w:val="000000"/>
          <w:szCs w:val="24"/>
          <w:lang w:val="en-US"/>
        </w:rPr>
        <w:t xml:space="preserve">space stations may be accommodated </w:t>
      </w:r>
      <w:r w:rsidR="003A1170">
        <w:rPr>
          <w:color w:val="000000"/>
        </w:rPr>
        <w:t xml:space="preserve">by new inter-satellite service (ISS) allocations </w:t>
      </w:r>
      <w:r w:rsidR="00D84F33" w:rsidRPr="00D84F33">
        <w:rPr>
          <w:color w:val="000000"/>
          <w:szCs w:val="24"/>
          <w:lang w:val="en-US"/>
        </w:rPr>
        <w:t xml:space="preserve">in certain frequency bands </w:t>
      </w:r>
      <w:r w:rsidR="003A1170">
        <w:rPr>
          <w:color w:val="000000"/>
          <w:szCs w:val="24"/>
          <w:lang w:val="en-US"/>
        </w:rPr>
        <w:t xml:space="preserve">currently </w:t>
      </w:r>
      <w:r w:rsidR="00D84F33" w:rsidRPr="00D84F33">
        <w:rPr>
          <w:color w:val="000000"/>
          <w:szCs w:val="24"/>
          <w:lang w:val="en-US"/>
        </w:rPr>
        <w:t>allocated to the fixed-satellite service and mobile-satellite service</w:t>
      </w:r>
      <w:r w:rsidR="003A1170">
        <w:rPr>
          <w:color w:val="000000"/>
          <w:szCs w:val="24"/>
          <w:lang w:val="en-US"/>
        </w:rPr>
        <w:t xml:space="preserve">, </w:t>
      </w:r>
      <w:r w:rsidR="003A1170" w:rsidRPr="00DD6DC7">
        <w:t>while ensuring the protection of existing services and their future development</w:t>
      </w:r>
      <w:r w:rsidR="00D84F33" w:rsidRPr="00D84F33">
        <w:rPr>
          <w:rFonts w:eastAsia="Calibri"/>
          <w:color w:val="000000"/>
          <w:szCs w:val="24"/>
          <w:lang w:val="en-US"/>
        </w:rPr>
        <w:t>.</w:t>
      </w:r>
    </w:p>
    <w:p w14:paraId="587B32FE" w14:textId="77777777" w:rsidR="00FF5DD6" w:rsidRPr="00D84F33" w:rsidRDefault="00FF5DD6" w:rsidP="00A70073">
      <w:pPr>
        <w:overflowPunct/>
        <w:autoSpaceDE/>
        <w:autoSpaceDN/>
        <w:adjustRightInd/>
        <w:textAlignment w:val="auto"/>
        <w:rPr>
          <w:szCs w:val="24"/>
        </w:rPr>
      </w:pPr>
    </w:p>
    <w:p w14:paraId="09602F64" w14:textId="77777777" w:rsidR="00FF5DD6" w:rsidRDefault="00FF5DD6" w:rsidP="00A70073">
      <w:pPr>
        <w:overflowPunct/>
        <w:autoSpaceDE/>
        <w:autoSpaceDN/>
        <w:adjustRightInd/>
        <w:textAlignment w:val="auto"/>
      </w:pPr>
      <w:r>
        <w:br w:type="page"/>
      </w:r>
    </w:p>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F5DD6" w14:paraId="352D51F9" w14:textId="77777777" w:rsidTr="0056483D">
        <w:trPr>
          <w:cantSplit/>
        </w:trPr>
        <w:tc>
          <w:tcPr>
            <w:tcW w:w="6911" w:type="dxa"/>
          </w:tcPr>
          <w:p w14:paraId="4A06BF22" w14:textId="77777777" w:rsidR="00FF5DD6" w:rsidRPr="00DF23FC" w:rsidRDefault="00FF5DD6" w:rsidP="0056483D">
            <w:pPr>
              <w:spacing w:before="400" w:after="48" w:line="240" w:lineRule="atLeast"/>
              <w:rPr>
                <w:rFonts w:ascii="Verdana" w:hAnsi="Verdana"/>
                <w:position w:val="6"/>
              </w:rPr>
            </w:pPr>
            <w:r w:rsidRPr="00F7284A">
              <w:rPr>
                <w:rFonts w:ascii="Verdana" w:hAnsi="Verdana" w:cs="Times"/>
                <w:b/>
                <w:position w:val="6"/>
                <w:sz w:val="22"/>
                <w:szCs w:val="22"/>
                <w:lang w:val="en-US"/>
              </w:rPr>
              <w:lastRenderedPageBreak/>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Pr>
                <w:rFonts w:ascii="Verdana" w:hAnsi="Verdana"/>
                <w:b/>
                <w:bCs/>
                <w:position w:val="6"/>
                <w:sz w:val="18"/>
                <w:szCs w:val="18"/>
                <w:lang w:val="en-US"/>
              </w:rPr>
              <w:t xml:space="preserve"> 22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9</w:t>
            </w:r>
          </w:p>
        </w:tc>
        <w:tc>
          <w:tcPr>
            <w:tcW w:w="3120" w:type="dxa"/>
          </w:tcPr>
          <w:p w14:paraId="7FDF50D7" w14:textId="77777777" w:rsidR="00FF5DD6" w:rsidRDefault="00113AC3" w:rsidP="0056483D">
            <w:pPr>
              <w:spacing w:before="0" w:line="240" w:lineRule="atLeast"/>
              <w:jc w:val="right"/>
            </w:pPr>
            <w:r w:rsidRPr="00FF5DD6">
              <w:rPr>
                <w:noProof/>
                <w:lang w:val="en-US"/>
              </w:rPr>
              <w:drawing>
                <wp:inline distT="0" distB="0" distL="0" distR="0" wp14:anchorId="4AEB4F50" wp14:editId="404E7F7D">
                  <wp:extent cx="1762125" cy="742950"/>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FF5DD6" w:rsidRPr="00617BE4" w14:paraId="371EC74D" w14:textId="77777777" w:rsidTr="0056483D">
        <w:trPr>
          <w:cantSplit/>
        </w:trPr>
        <w:tc>
          <w:tcPr>
            <w:tcW w:w="6911" w:type="dxa"/>
            <w:tcBorders>
              <w:bottom w:val="single" w:sz="12" w:space="0" w:color="auto"/>
            </w:tcBorders>
          </w:tcPr>
          <w:p w14:paraId="26AE9FB1" w14:textId="77777777" w:rsidR="00FF5DD6" w:rsidRPr="003B2284" w:rsidRDefault="00FF5DD6" w:rsidP="0056483D">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143101CD" w14:textId="77777777" w:rsidR="00FF5DD6" w:rsidRPr="00617BE4" w:rsidRDefault="00FF5DD6" w:rsidP="0056483D">
            <w:pPr>
              <w:spacing w:before="0" w:line="240" w:lineRule="atLeast"/>
              <w:rPr>
                <w:rFonts w:ascii="Verdana" w:hAnsi="Verdana"/>
                <w:szCs w:val="24"/>
              </w:rPr>
            </w:pPr>
          </w:p>
        </w:tc>
      </w:tr>
      <w:tr w:rsidR="00FF5DD6" w:rsidRPr="00C324A8" w14:paraId="327F1BE3" w14:textId="77777777" w:rsidTr="0056483D">
        <w:trPr>
          <w:cantSplit/>
        </w:trPr>
        <w:tc>
          <w:tcPr>
            <w:tcW w:w="6911" w:type="dxa"/>
            <w:tcBorders>
              <w:top w:val="single" w:sz="12" w:space="0" w:color="auto"/>
            </w:tcBorders>
          </w:tcPr>
          <w:p w14:paraId="32D0A6CC" w14:textId="77777777" w:rsidR="00FF5DD6" w:rsidRPr="00C324A8" w:rsidRDefault="00FF5DD6" w:rsidP="0056483D">
            <w:pPr>
              <w:spacing w:before="0" w:after="48" w:line="240" w:lineRule="atLeast"/>
              <w:rPr>
                <w:rFonts w:ascii="Verdana" w:hAnsi="Verdana"/>
                <w:b/>
                <w:smallCaps/>
                <w:sz w:val="20"/>
              </w:rPr>
            </w:pPr>
          </w:p>
        </w:tc>
        <w:tc>
          <w:tcPr>
            <w:tcW w:w="3120" w:type="dxa"/>
            <w:tcBorders>
              <w:top w:val="single" w:sz="12" w:space="0" w:color="auto"/>
            </w:tcBorders>
          </w:tcPr>
          <w:p w14:paraId="099BA113" w14:textId="77777777" w:rsidR="00FF5DD6" w:rsidRPr="00C324A8" w:rsidRDefault="00FF5DD6" w:rsidP="0056483D">
            <w:pPr>
              <w:spacing w:before="0" w:line="240" w:lineRule="atLeast"/>
              <w:rPr>
                <w:rFonts w:ascii="Verdana" w:hAnsi="Verdana"/>
                <w:sz w:val="20"/>
              </w:rPr>
            </w:pPr>
          </w:p>
        </w:tc>
      </w:tr>
      <w:tr w:rsidR="00FF5DD6" w:rsidRPr="00C324A8" w14:paraId="07909495" w14:textId="77777777" w:rsidTr="0056483D">
        <w:trPr>
          <w:cantSplit/>
          <w:trHeight w:val="23"/>
        </w:trPr>
        <w:tc>
          <w:tcPr>
            <w:tcW w:w="6911" w:type="dxa"/>
            <w:shd w:val="clear" w:color="auto" w:fill="auto"/>
          </w:tcPr>
          <w:p w14:paraId="515D9FF7" w14:textId="77777777" w:rsidR="00FF5DD6" w:rsidRPr="00841216" w:rsidRDefault="00FF5DD6" w:rsidP="0056483D">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0FCEB208" w14:textId="5F143651" w:rsidR="00FF5DD6" w:rsidRPr="00841216" w:rsidRDefault="00FF5DD6" w:rsidP="0056483D">
            <w:pPr>
              <w:tabs>
                <w:tab w:val="left" w:pos="851"/>
              </w:tabs>
              <w:spacing w:before="0" w:line="240" w:lineRule="atLeast"/>
              <w:rPr>
                <w:rFonts w:ascii="Verdana" w:hAnsi="Verdana"/>
                <w:sz w:val="20"/>
              </w:rPr>
            </w:pPr>
            <w:r>
              <w:rPr>
                <w:rFonts w:ascii="Verdana" w:hAnsi="Verdana"/>
                <w:b/>
                <w:sz w:val="20"/>
              </w:rPr>
              <w:t>Addendum 24 to</w:t>
            </w:r>
            <w:r>
              <w:rPr>
                <w:rFonts w:ascii="Verdana" w:hAnsi="Verdana"/>
                <w:b/>
                <w:sz w:val="20"/>
              </w:rPr>
              <w:br/>
              <w:t xml:space="preserve">Document </w:t>
            </w:r>
            <w:r w:rsidR="00D72E2F">
              <w:rPr>
                <w:rFonts w:ascii="Verdana" w:hAnsi="Verdana"/>
                <w:b/>
                <w:sz w:val="20"/>
              </w:rPr>
              <w:t>xxx</w:t>
            </w:r>
            <w:r w:rsidRPr="00841216">
              <w:rPr>
                <w:rFonts w:ascii="Verdana" w:hAnsi="Verdana"/>
                <w:b/>
                <w:sz w:val="20"/>
              </w:rPr>
              <w:t>-E</w:t>
            </w:r>
          </w:p>
        </w:tc>
      </w:tr>
      <w:tr w:rsidR="00FF5DD6" w:rsidRPr="00C324A8" w14:paraId="3E4428DF" w14:textId="77777777" w:rsidTr="0056483D">
        <w:trPr>
          <w:cantSplit/>
          <w:trHeight w:val="23"/>
        </w:trPr>
        <w:tc>
          <w:tcPr>
            <w:tcW w:w="6911" w:type="dxa"/>
            <w:shd w:val="clear" w:color="auto" w:fill="auto"/>
          </w:tcPr>
          <w:p w14:paraId="50A0CA08" w14:textId="77777777" w:rsidR="00FF5DD6" w:rsidRPr="00841216" w:rsidRDefault="00FF5DD6" w:rsidP="0056483D">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3736DB2" w14:textId="43ADE81A" w:rsidR="00FF5DD6" w:rsidRPr="00841216" w:rsidRDefault="00D72E2F" w:rsidP="0056483D">
            <w:pPr>
              <w:tabs>
                <w:tab w:val="left" w:pos="993"/>
              </w:tabs>
              <w:spacing w:before="0"/>
              <w:rPr>
                <w:rFonts w:ascii="Verdana" w:hAnsi="Verdana"/>
                <w:sz w:val="20"/>
              </w:rPr>
            </w:pPr>
            <w:r>
              <w:rPr>
                <w:rFonts w:ascii="Verdana" w:hAnsi="Verdana"/>
                <w:b/>
                <w:sz w:val="20"/>
              </w:rPr>
              <w:t>1</w:t>
            </w:r>
            <w:r w:rsidR="00FF5DD6" w:rsidRPr="00841216">
              <w:rPr>
                <w:rFonts w:ascii="Verdana" w:hAnsi="Verdana"/>
                <w:b/>
                <w:sz w:val="20"/>
              </w:rPr>
              <w:t>9 July 2019</w:t>
            </w:r>
          </w:p>
        </w:tc>
      </w:tr>
      <w:tr w:rsidR="00FF5DD6" w:rsidRPr="00C324A8" w14:paraId="65B4CA77" w14:textId="77777777" w:rsidTr="0056483D">
        <w:trPr>
          <w:cantSplit/>
          <w:trHeight w:val="23"/>
        </w:trPr>
        <w:tc>
          <w:tcPr>
            <w:tcW w:w="6911" w:type="dxa"/>
            <w:shd w:val="clear" w:color="auto" w:fill="auto"/>
          </w:tcPr>
          <w:p w14:paraId="57E0B95E" w14:textId="77777777" w:rsidR="00FF5DD6" w:rsidRPr="00841216" w:rsidRDefault="00FF5DD6" w:rsidP="0056483D">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63343A7D" w14:textId="77777777" w:rsidR="00FF5DD6" w:rsidRPr="00841216" w:rsidRDefault="00FF5DD6" w:rsidP="0056483D">
            <w:pPr>
              <w:tabs>
                <w:tab w:val="left" w:pos="993"/>
              </w:tabs>
              <w:spacing w:before="0"/>
              <w:rPr>
                <w:rFonts w:ascii="Verdana" w:hAnsi="Verdana"/>
                <w:b/>
                <w:sz w:val="20"/>
              </w:rPr>
            </w:pPr>
            <w:r w:rsidRPr="00841216">
              <w:rPr>
                <w:rFonts w:ascii="Verdana" w:hAnsi="Verdana"/>
                <w:b/>
                <w:sz w:val="20"/>
              </w:rPr>
              <w:t>Original: English</w:t>
            </w:r>
          </w:p>
        </w:tc>
      </w:tr>
      <w:tr w:rsidR="00FF5DD6" w:rsidRPr="00C324A8" w14:paraId="0E2C86BD" w14:textId="77777777" w:rsidTr="0056483D">
        <w:trPr>
          <w:cantSplit/>
          <w:trHeight w:val="23"/>
        </w:trPr>
        <w:tc>
          <w:tcPr>
            <w:tcW w:w="10031" w:type="dxa"/>
            <w:gridSpan w:val="2"/>
            <w:shd w:val="clear" w:color="auto" w:fill="auto"/>
          </w:tcPr>
          <w:p w14:paraId="63C81723" w14:textId="77777777" w:rsidR="00FF5DD6" w:rsidRPr="00C324A8" w:rsidRDefault="00FF5DD6" w:rsidP="0056483D">
            <w:pPr>
              <w:tabs>
                <w:tab w:val="left" w:pos="993"/>
              </w:tabs>
              <w:spacing w:before="0"/>
              <w:rPr>
                <w:rFonts w:ascii="Verdana" w:hAnsi="Verdana"/>
                <w:b/>
                <w:sz w:val="20"/>
              </w:rPr>
            </w:pPr>
          </w:p>
        </w:tc>
      </w:tr>
      <w:tr w:rsidR="00FF5DD6" w:rsidRPr="00C324A8" w14:paraId="0B670161" w14:textId="77777777" w:rsidTr="0056483D">
        <w:trPr>
          <w:cantSplit/>
          <w:trHeight w:val="23"/>
        </w:trPr>
        <w:tc>
          <w:tcPr>
            <w:tcW w:w="10031" w:type="dxa"/>
            <w:gridSpan w:val="2"/>
            <w:shd w:val="clear" w:color="auto" w:fill="auto"/>
          </w:tcPr>
          <w:p w14:paraId="5D39BF26" w14:textId="77777777" w:rsidR="00FF5DD6" w:rsidRDefault="00FF5DD6" w:rsidP="0056483D">
            <w:pPr>
              <w:pStyle w:val="Source"/>
            </w:pPr>
            <w:r>
              <w:t>United States of America</w:t>
            </w:r>
          </w:p>
        </w:tc>
      </w:tr>
      <w:tr w:rsidR="00FF5DD6" w:rsidRPr="00C324A8" w14:paraId="3EB42617" w14:textId="77777777" w:rsidTr="0056483D">
        <w:trPr>
          <w:cantSplit/>
          <w:trHeight w:val="23"/>
        </w:trPr>
        <w:tc>
          <w:tcPr>
            <w:tcW w:w="10031" w:type="dxa"/>
            <w:gridSpan w:val="2"/>
            <w:shd w:val="clear" w:color="auto" w:fill="auto"/>
          </w:tcPr>
          <w:p w14:paraId="09ACA149" w14:textId="77777777" w:rsidR="00FF5DD6" w:rsidRDefault="00FF5DD6" w:rsidP="0056483D">
            <w:pPr>
              <w:pStyle w:val="Title1"/>
            </w:pPr>
            <w:r>
              <w:t>Proposals for the work of the conference</w:t>
            </w:r>
          </w:p>
        </w:tc>
      </w:tr>
      <w:tr w:rsidR="00FF5DD6" w:rsidRPr="00C324A8" w14:paraId="7193D8A7" w14:textId="77777777" w:rsidTr="0056483D">
        <w:trPr>
          <w:cantSplit/>
          <w:trHeight w:val="23"/>
        </w:trPr>
        <w:tc>
          <w:tcPr>
            <w:tcW w:w="10031" w:type="dxa"/>
            <w:gridSpan w:val="2"/>
            <w:shd w:val="clear" w:color="auto" w:fill="auto"/>
          </w:tcPr>
          <w:p w14:paraId="20261F84" w14:textId="77777777" w:rsidR="00FF5DD6" w:rsidRDefault="00FF5DD6" w:rsidP="0056483D">
            <w:pPr>
              <w:pStyle w:val="Title2"/>
            </w:pPr>
          </w:p>
        </w:tc>
      </w:tr>
      <w:tr w:rsidR="00FF5DD6" w:rsidRPr="00C324A8" w14:paraId="14C30CFA" w14:textId="77777777" w:rsidTr="0056483D">
        <w:trPr>
          <w:cantSplit/>
          <w:trHeight w:val="23"/>
        </w:trPr>
        <w:tc>
          <w:tcPr>
            <w:tcW w:w="10031" w:type="dxa"/>
            <w:gridSpan w:val="2"/>
            <w:shd w:val="clear" w:color="auto" w:fill="auto"/>
          </w:tcPr>
          <w:p w14:paraId="4FEB665E" w14:textId="77777777" w:rsidR="00FF5DD6" w:rsidRDefault="00FF5DD6" w:rsidP="0056483D">
            <w:pPr>
              <w:pStyle w:val="Agendaitem"/>
            </w:pPr>
            <w:r>
              <w:t>Agenda item 10</w:t>
            </w:r>
          </w:p>
        </w:tc>
      </w:tr>
      <w:bookmarkEnd w:id="5"/>
      <w:bookmarkEnd w:id="6"/>
    </w:tbl>
    <w:p w14:paraId="19D58AB8" w14:textId="77777777" w:rsidR="00FF5DD6" w:rsidRDefault="00FF5DD6" w:rsidP="00A70073">
      <w:pPr>
        <w:overflowPunct/>
        <w:autoSpaceDE/>
        <w:autoSpaceDN/>
        <w:adjustRightInd/>
        <w:textAlignment w:val="auto"/>
      </w:pPr>
    </w:p>
    <w:p w14:paraId="30377BA7" w14:textId="77777777" w:rsidR="00FF5DD6" w:rsidRDefault="00FF5DD6" w:rsidP="00A70073">
      <w:pPr>
        <w:overflowPunct/>
        <w:autoSpaceDE/>
        <w:autoSpaceDN/>
        <w:adjustRightInd/>
        <w:textAlignment w:val="auto"/>
      </w:pPr>
    </w:p>
    <w:p w14:paraId="5B8F8218" w14:textId="77777777" w:rsidR="00A70073" w:rsidRDefault="008241F9" w:rsidP="00A70073">
      <w:pPr>
        <w:overflowPunct/>
        <w:autoSpaceDE/>
        <w:autoSpaceDN/>
        <w:adjustRightInd/>
        <w:textAlignment w:val="auto"/>
      </w:pPr>
      <w:r w:rsidRPr="009A2B70">
        <w:t>10</w:t>
      </w:r>
      <w:r w:rsidRPr="009A2B70">
        <w:rPr>
          <w:b/>
          <w:bCs/>
        </w:rPr>
        <w:tab/>
      </w:r>
      <w:r w:rsidRPr="009A2B70">
        <w:t>to recommend to the Council items for inclusion in the agenda for the next WRC, and to give its views on the preliminary agenda for the subsequent conference and on possible agenda items for future conferences, in accordance with Article 7 of the Convention,</w:t>
      </w:r>
    </w:p>
    <w:p w14:paraId="2B7EB70D" w14:textId="77777777" w:rsidR="00F12DB4" w:rsidRDefault="00F12DB4" w:rsidP="00A70073">
      <w:pPr>
        <w:overflowPunct/>
        <w:autoSpaceDE/>
        <w:autoSpaceDN/>
        <w:adjustRightInd/>
        <w:textAlignment w:val="auto"/>
      </w:pPr>
    </w:p>
    <w:p w14:paraId="37412984" w14:textId="77777777" w:rsidR="00F12DB4" w:rsidRPr="000002F2" w:rsidRDefault="00F12DB4" w:rsidP="00A70073">
      <w:pPr>
        <w:overflowPunct/>
        <w:autoSpaceDE/>
        <w:autoSpaceDN/>
        <w:adjustRightInd/>
        <w:textAlignment w:val="auto"/>
      </w:pPr>
    </w:p>
    <w:p w14:paraId="59E284D8" w14:textId="77777777" w:rsidR="00241FA2" w:rsidRDefault="00241FA2" w:rsidP="00187BD9">
      <w:pPr>
        <w:tabs>
          <w:tab w:val="clear" w:pos="1134"/>
          <w:tab w:val="clear" w:pos="1871"/>
          <w:tab w:val="clear" w:pos="2268"/>
        </w:tabs>
        <w:overflowPunct/>
        <w:autoSpaceDE/>
        <w:autoSpaceDN/>
        <w:adjustRightInd/>
        <w:spacing w:before="0"/>
        <w:textAlignment w:val="auto"/>
        <w:rPr>
          <w:lang w:val="fr-CH"/>
        </w:rPr>
      </w:pPr>
    </w:p>
    <w:p w14:paraId="620F2EC7" w14:textId="77777777" w:rsidR="00187BD9" w:rsidRDefault="00187BD9"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14:paraId="22C6C1F6"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eastAsia="Calibri"/>
          <w:szCs w:val="22"/>
          <w:lang w:val="en-US"/>
        </w:rPr>
      </w:pPr>
      <w:r w:rsidRPr="00D84F33">
        <w:rPr>
          <w:rFonts w:eastAsia="Calibri"/>
          <w:b/>
          <w:bCs/>
          <w:szCs w:val="22"/>
          <w:lang w:val="en-US"/>
        </w:rPr>
        <w:lastRenderedPageBreak/>
        <w:t>BACKGROUND INFORMATION</w:t>
      </w:r>
      <w:r w:rsidRPr="00D84F33">
        <w:rPr>
          <w:rFonts w:eastAsia="Calibri"/>
          <w:szCs w:val="22"/>
          <w:lang w:val="en-US"/>
        </w:rPr>
        <w:t xml:space="preserve">: </w:t>
      </w:r>
    </w:p>
    <w:p w14:paraId="3E0BD089" w14:textId="2D5D5C70"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eastAsia="Calibri"/>
          <w:szCs w:val="24"/>
          <w:lang w:val="en-US"/>
        </w:rPr>
      </w:pPr>
      <w:r w:rsidRPr="00D84F33">
        <w:rPr>
          <w:rFonts w:eastAsia="Calibri"/>
          <w:bCs/>
          <w:szCs w:val="24"/>
          <w:lang w:val="en-US"/>
        </w:rPr>
        <w:t xml:space="preserve">Space station operations in low-Earth orbit are increasing at a rapid rate for scientific, academic and commercial purposes from the many civil space agencies around the World to commercial entities and academic institutions.  They vary in size from as large as the International Space Station to as small as single unit cubesats and have widely ranging data requirements.  All of these systems have one thing in common, however, the need to get data down to Earth in an efficient and cost-effective manner and similarly to receive telecommand information in an equal manner. Telecommunications satellites offer a ready means to fulfill this need as preliminary studies in Working Parties 4A and 4C have shown.  What is lacking, however, is the regulatory recognition for the inter-satellite links (ISL) that would allow telecommunications satellites to fill that need.  Regulatory recognition for these ISL’s could be </w:t>
      </w:r>
      <w:r w:rsidR="003A1170">
        <w:rPr>
          <w:bCs/>
          <w:szCs w:val="24"/>
        </w:rPr>
        <w:t xml:space="preserve">achieved through the adoption </w:t>
      </w:r>
      <w:r w:rsidRPr="00D84F33">
        <w:rPr>
          <w:rFonts w:eastAsia="Calibri"/>
          <w:bCs/>
          <w:szCs w:val="24"/>
          <w:lang w:val="en-US"/>
        </w:rPr>
        <w:t xml:space="preserve">of an inter-satellite service (ISS) allocation </w:t>
      </w:r>
      <w:r w:rsidR="003A1170">
        <w:rPr>
          <w:rFonts w:eastAsia="Calibri"/>
          <w:bCs/>
          <w:szCs w:val="24"/>
          <w:lang w:val="en-US"/>
        </w:rPr>
        <w:t>within</w:t>
      </w:r>
      <w:r w:rsidRPr="00D84F33">
        <w:rPr>
          <w:rFonts w:eastAsia="Calibri"/>
          <w:bCs/>
          <w:szCs w:val="24"/>
          <w:lang w:val="en-US"/>
        </w:rPr>
        <w:t xml:space="preserve"> existing satellite service allocations such as with the fixed-satellite service (FSS) and mobile-satellite service (MSS).</w:t>
      </w:r>
      <w:r w:rsidRPr="00D84F33">
        <w:rPr>
          <w:rFonts w:eastAsia="Calibri"/>
          <w:szCs w:val="24"/>
          <w:lang w:val="en-US"/>
        </w:rPr>
        <w:t xml:space="preserve">  Currently such support in FSS and MSS allocations is only possible under No. </w:t>
      </w:r>
      <w:r w:rsidRPr="00D84F33">
        <w:rPr>
          <w:rFonts w:eastAsia="Calibri"/>
          <w:b/>
          <w:bCs/>
          <w:szCs w:val="24"/>
          <w:lang w:val="en-US"/>
        </w:rPr>
        <w:t>4.4</w:t>
      </w:r>
      <w:r w:rsidRPr="00D84F33">
        <w:rPr>
          <w:rFonts w:eastAsia="Calibri"/>
          <w:szCs w:val="24"/>
          <w:lang w:val="en-US"/>
        </w:rPr>
        <w:t>.</w:t>
      </w:r>
    </w:p>
    <w:p w14:paraId="664BED43"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eastAsia="Calibri"/>
          <w:bCs/>
          <w:szCs w:val="24"/>
          <w:lang w:val="en-US"/>
        </w:rPr>
      </w:pPr>
    </w:p>
    <w:p w14:paraId="09DA06D9" w14:textId="097AE19C" w:rsidR="00D84F33" w:rsidRPr="00D84F33" w:rsidRDefault="00D84F33" w:rsidP="00D84F33">
      <w:pPr>
        <w:tabs>
          <w:tab w:val="left" w:pos="576"/>
          <w:tab w:val="left" w:pos="792"/>
          <w:tab w:val="left" w:pos="1008"/>
          <w:tab w:val="left" w:pos="1224"/>
          <w:tab w:val="left" w:pos="1440"/>
        </w:tabs>
        <w:jc w:val="both"/>
        <w:rPr>
          <w:rFonts w:eastAsia="Calibri"/>
          <w:szCs w:val="24"/>
          <w:lang w:val="en-US" w:eastAsia="zh-CN"/>
        </w:rPr>
      </w:pPr>
      <w:r w:rsidRPr="00D84F33">
        <w:rPr>
          <w:rFonts w:eastAsia="Calibri"/>
          <w:szCs w:val="24"/>
          <w:lang w:val="en-US"/>
        </w:rPr>
        <w:t xml:space="preserve">Article </w:t>
      </w:r>
      <w:r w:rsidRPr="00D84F33">
        <w:rPr>
          <w:rFonts w:eastAsia="Calibri"/>
          <w:b/>
          <w:szCs w:val="24"/>
          <w:lang w:val="en-US" w:eastAsia="zh-CN"/>
        </w:rPr>
        <w:t>1</w:t>
      </w:r>
      <w:r w:rsidRPr="00D84F33">
        <w:rPr>
          <w:rFonts w:eastAsia="Calibri"/>
          <w:szCs w:val="24"/>
          <w:lang w:val="en-US" w:eastAsia="zh-CN"/>
        </w:rPr>
        <w:t xml:space="preserve"> of the Radio Regulations</w:t>
      </w:r>
      <w:r w:rsidR="003A1170" w:rsidRPr="003A1170">
        <w:rPr>
          <w:szCs w:val="24"/>
          <w:lang w:eastAsia="zh-CN"/>
        </w:rPr>
        <w:t xml:space="preserve"> </w:t>
      </w:r>
      <w:r w:rsidR="003A1170">
        <w:rPr>
          <w:szCs w:val="24"/>
          <w:lang w:eastAsia="zh-CN"/>
        </w:rPr>
        <w:t>defines the inter-satellite service as follows</w:t>
      </w:r>
      <w:r w:rsidRPr="00D84F33">
        <w:rPr>
          <w:rFonts w:eastAsia="Calibri"/>
          <w:szCs w:val="24"/>
          <w:lang w:val="en-US" w:eastAsia="zh-CN"/>
        </w:rPr>
        <w:t>:</w:t>
      </w:r>
    </w:p>
    <w:p w14:paraId="5EB4A7E3" w14:textId="77777777" w:rsidR="00D84F33" w:rsidRPr="00D84F33" w:rsidRDefault="00D84F33" w:rsidP="00D84F33">
      <w:pPr>
        <w:tabs>
          <w:tab w:val="left" w:pos="576"/>
          <w:tab w:val="left" w:pos="792"/>
          <w:tab w:val="left" w:pos="1008"/>
          <w:tab w:val="left" w:pos="1224"/>
          <w:tab w:val="left" w:pos="1440"/>
        </w:tabs>
        <w:ind w:right="720"/>
        <w:jc w:val="both"/>
        <w:rPr>
          <w:lang w:val="en-US"/>
        </w:rPr>
      </w:pPr>
      <w:r w:rsidRPr="00D84F33">
        <w:rPr>
          <w:b/>
          <w:bCs/>
          <w:lang w:val="en-US"/>
        </w:rPr>
        <w:t>1.22</w:t>
      </w:r>
      <w:r w:rsidRPr="00D84F33">
        <w:rPr>
          <w:lang w:val="en-US"/>
        </w:rPr>
        <w:tab/>
      </w:r>
      <w:r w:rsidRPr="00D84F33">
        <w:rPr>
          <w:lang w:val="en-US"/>
        </w:rPr>
        <w:tab/>
      </w:r>
      <w:r w:rsidRPr="00D84F33">
        <w:rPr>
          <w:lang w:val="en-US"/>
        </w:rPr>
        <w:tab/>
      </w:r>
      <w:r w:rsidRPr="00D84F33">
        <w:rPr>
          <w:lang w:val="en-US"/>
        </w:rPr>
        <w:tab/>
      </w:r>
      <w:r w:rsidRPr="00D84F33">
        <w:rPr>
          <w:lang w:val="en-US"/>
        </w:rPr>
        <w:tab/>
      </w:r>
      <w:r w:rsidRPr="00D84F33">
        <w:rPr>
          <w:lang w:val="en-US"/>
        </w:rPr>
        <w:tab/>
      </w:r>
      <w:r w:rsidRPr="00D84F33">
        <w:rPr>
          <w:lang w:val="en-US"/>
        </w:rPr>
        <w:tab/>
      </w:r>
      <w:r w:rsidRPr="00D84F33">
        <w:rPr>
          <w:i/>
          <w:iCs/>
          <w:lang w:val="en-US"/>
        </w:rPr>
        <w:t>Inter-satellite service:</w:t>
      </w:r>
      <w:r w:rsidRPr="00D84F33">
        <w:rPr>
          <w:lang w:val="en-US"/>
        </w:rPr>
        <w:t xml:space="preserve">  A </w:t>
      </w:r>
      <w:r w:rsidRPr="00D84F33">
        <w:rPr>
          <w:i/>
          <w:iCs/>
          <w:lang w:val="en-US"/>
        </w:rPr>
        <w:t>radiocommunication service</w:t>
      </w:r>
      <w:r w:rsidRPr="00D84F33">
        <w:rPr>
          <w:lang w:val="en-US"/>
        </w:rPr>
        <w:t xml:space="preserve"> providing links between artificial </w:t>
      </w:r>
      <w:r w:rsidRPr="00D84F33">
        <w:rPr>
          <w:i/>
          <w:iCs/>
          <w:lang w:val="en-US"/>
        </w:rPr>
        <w:t>satellites</w:t>
      </w:r>
      <w:r w:rsidRPr="00D84F33">
        <w:rPr>
          <w:lang w:val="en-US"/>
        </w:rPr>
        <w:t>.</w:t>
      </w:r>
    </w:p>
    <w:p w14:paraId="70DA2900"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jc w:val="both"/>
        <w:textAlignment w:val="auto"/>
        <w:rPr>
          <w:rFonts w:eastAsia="Calibri"/>
          <w:szCs w:val="24"/>
        </w:rPr>
      </w:pPr>
    </w:p>
    <w:p w14:paraId="7C63CCEC"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jc w:val="both"/>
        <w:textAlignment w:val="auto"/>
        <w:rPr>
          <w:rFonts w:eastAsia="Calibri"/>
          <w:szCs w:val="24"/>
        </w:rPr>
      </w:pPr>
    </w:p>
    <w:p w14:paraId="1BB9778B" w14:textId="7ADA98B0" w:rsidR="00D84F33" w:rsidRDefault="003A1170"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jc w:val="both"/>
        <w:textAlignment w:val="auto"/>
        <w:rPr>
          <w:rFonts w:eastAsia="Calibri"/>
          <w:bCs/>
          <w:szCs w:val="24"/>
          <w:lang w:val="en-US"/>
        </w:rPr>
      </w:pPr>
      <w:r w:rsidRPr="00D84F33">
        <w:rPr>
          <w:rFonts w:eastAsia="Calibri"/>
          <w:szCs w:val="24"/>
        </w:rPr>
        <w:t>Th</w:t>
      </w:r>
      <w:r>
        <w:rPr>
          <w:rFonts w:eastAsia="Calibri"/>
          <w:szCs w:val="24"/>
        </w:rPr>
        <w:t>e</w:t>
      </w:r>
      <w:r w:rsidRPr="00D84F33">
        <w:rPr>
          <w:rFonts w:eastAsia="Calibri"/>
          <w:szCs w:val="24"/>
        </w:rPr>
        <w:t xml:space="preserve"> </w:t>
      </w:r>
      <w:r w:rsidR="00D84F33" w:rsidRPr="00D84F33">
        <w:rPr>
          <w:rFonts w:eastAsia="Calibri"/>
          <w:szCs w:val="24"/>
        </w:rPr>
        <w:t xml:space="preserve">possibility </w:t>
      </w:r>
      <w:r>
        <w:rPr>
          <w:rFonts w:eastAsia="Calibri"/>
          <w:szCs w:val="24"/>
        </w:rPr>
        <w:t xml:space="preserve">for inter-satellite links </w:t>
      </w:r>
      <w:r w:rsidR="00D84F33" w:rsidRPr="00D84F33">
        <w:rPr>
          <w:rFonts w:eastAsia="Calibri"/>
          <w:szCs w:val="24"/>
        </w:rPr>
        <w:t xml:space="preserve">seems particularly reasonable for links between a non-GSO space station and a geostationary orbit space station or between two non-geostationary orbit (non-GSO) space stations  at different orbital altitudes, where the </w:t>
      </w:r>
      <w:r>
        <w:rPr>
          <w:rFonts w:eastAsia="Calibri"/>
          <w:szCs w:val="24"/>
        </w:rPr>
        <w:t xml:space="preserve">inter-satellite </w:t>
      </w:r>
      <w:r w:rsidR="00D84F33" w:rsidRPr="00D84F33">
        <w:rPr>
          <w:rFonts w:eastAsia="Calibri"/>
          <w:szCs w:val="24"/>
        </w:rPr>
        <w:t xml:space="preserve">link is being transmitted in the same general direction (e.g., Earth-to-space or space-to-Earth) within the receive or transmit beam of the higher orbital altitude space station, and the lower orbital altitude space station operates with technical parameters that make its operation identical, or substantially similar, to earth stations (or mobile earth stations) operating within the higher orbital altitude  space station receive or transmit beam for either FSS or MSS.  </w:t>
      </w:r>
      <w:r w:rsidR="00D84F33" w:rsidRPr="00D84F33">
        <w:rPr>
          <w:rFonts w:eastAsia="Calibri"/>
          <w:bCs/>
          <w:szCs w:val="24"/>
          <w:lang w:val="en-US"/>
        </w:rPr>
        <w:t xml:space="preserve"> </w:t>
      </w:r>
    </w:p>
    <w:p w14:paraId="2F209D63" w14:textId="1142A5C6" w:rsidR="00C02EC4" w:rsidRDefault="00C02EC4"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jc w:val="both"/>
        <w:textAlignment w:val="auto"/>
        <w:rPr>
          <w:rFonts w:eastAsia="Calibri"/>
          <w:bCs/>
          <w:szCs w:val="24"/>
          <w:lang w:val="en-US"/>
        </w:rPr>
      </w:pPr>
    </w:p>
    <w:p w14:paraId="352BC213" w14:textId="6960C0DE" w:rsidR="00D84F33" w:rsidRPr="00C02EC4" w:rsidRDefault="00C02EC4"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jc w:val="both"/>
        <w:textAlignment w:val="auto"/>
        <w:rPr>
          <w:rFonts w:eastAsia="Calibri"/>
          <w:b/>
          <w:szCs w:val="24"/>
          <w:lang w:val="en-US"/>
        </w:rPr>
      </w:pPr>
      <w:r w:rsidRPr="00C02EC4">
        <w:rPr>
          <w:rFonts w:eastAsia="Calibri"/>
          <w:b/>
          <w:szCs w:val="24"/>
          <w:lang w:val="en-US"/>
        </w:rPr>
        <w:t>PROPOSAL:</w:t>
      </w:r>
    </w:p>
    <w:p w14:paraId="6AC11DAE" w14:textId="2B15B10D"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jc w:val="both"/>
        <w:textAlignment w:val="auto"/>
        <w:rPr>
          <w:rFonts w:eastAsia="Calibri"/>
          <w:bCs/>
          <w:szCs w:val="24"/>
          <w:lang w:val="en-US"/>
        </w:rPr>
      </w:pPr>
      <w:r w:rsidRPr="00D84F33">
        <w:rPr>
          <w:rFonts w:eastAsia="Calibri"/>
          <w:bCs/>
          <w:szCs w:val="24"/>
          <w:lang w:val="en-US"/>
        </w:rPr>
        <w:t xml:space="preserve">Because frequency bands allocated to the FSS </w:t>
      </w:r>
      <w:r w:rsidR="003A1170">
        <w:rPr>
          <w:rFonts w:eastAsia="Calibri"/>
          <w:bCs/>
          <w:szCs w:val="24"/>
          <w:lang w:val="en-US"/>
        </w:rPr>
        <w:t>and</w:t>
      </w:r>
      <w:r w:rsidRPr="00D84F33">
        <w:rPr>
          <w:rFonts w:eastAsia="Calibri"/>
          <w:bCs/>
          <w:szCs w:val="24"/>
          <w:lang w:val="en-US"/>
        </w:rPr>
        <w:t xml:space="preserve"> MSS are used for links between space stations and earth stations (or mobile earth stations), it is necessary to analyze the use of the same bands for satellite-to-satellite links to ensure compatibility and avoid harmful interference to existing services. The sharing scenario is likely to differ as the orbital characteristics of the linked satellites vary.</w:t>
      </w:r>
    </w:p>
    <w:p w14:paraId="0D9C80B1"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jc w:val="both"/>
        <w:textAlignment w:val="auto"/>
        <w:rPr>
          <w:rFonts w:eastAsia="Calibri"/>
          <w:bCs/>
          <w:szCs w:val="24"/>
          <w:lang w:val="en-US"/>
        </w:rPr>
      </w:pPr>
    </w:p>
    <w:p w14:paraId="0896928F"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jc w:val="both"/>
        <w:textAlignment w:val="auto"/>
        <w:rPr>
          <w:rFonts w:eastAsia="Calibri"/>
          <w:szCs w:val="24"/>
          <w:lang w:val="en-US"/>
        </w:rPr>
      </w:pPr>
    </w:p>
    <w:p w14:paraId="13812EA6"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jc w:val="both"/>
        <w:textAlignment w:val="auto"/>
        <w:rPr>
          <w:rFonts w:eastAsia="Calibri"/>
          <w:szCs w:val="24"/>
          <w:lang w:val="en-US"/>
        </w:rPr>
      </w:pPr>
      <w:r w:rsidRPr="00D84F33">
        <w:rPr>
          <w:rFonts w:eastAsia="Calibri"/>
          <w:szCs w:val="24"/>
          <w:lang w:val="en-US"/>
        </w:rPr>
        <w:br w:type="page"/>
      </w:r>
    </w:p>
    <w:p w14:paraId="5DE760B5"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jc w:val="both"/>
        <w:textAlignment w:val="auto"/>
        <w:rPr>
          <w:rFonts w:eastAsia="Calibri"/>
          <w:szCs w:val="24"/>
          <w:lang w:val="en-US"/>
        </w:rPr>
      </w:pPr>
    </w:p>
    <w:p w14:paraId="1075E7C2"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spacing w:before="0"/>
        <w:textAlignment w:val="auto"/>
        <w:rPr>
          <w:rFonts w:eastAsia="Calibri"/>
          <w:b/>
          <w:szCs w:val="24"/>
          <w:lang w:val="en-US" w:eastAsia="x-none"/>
        </w:rPr>
      </w:pPr>
      <w:r w:rsidRPr="00D84F33">
        <w:rPr>
          <w:rFonts w:eastAsia="Calibri"/>
          <w:b/>
          <w:szCs w:val="24"/>
          <w:lang w:val="en-US" w:eastAsia="x-none"/>
        </w:rPr>
        <w:t>Proposals:</w:t>
      </w:r>
    </w:p>
    <w:p w14:paraId="1648B573"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spacing w:before="0"/>
        <w:textAlignment w:val="auto"/>
        <w:rPr>
          <w:rFonts w:eastAsia="Calibri"/>
          <w:b/>
          <w:szCs w:val="24"/>
          <w:lang w:val="en-US" w:eastAsia="x-none"/>
        </w:rPr>
      </w:pPr>
    </w:p>
    <w:p w14:paraId="7E65CA8D"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spacing w:before="0"/>
        <w:textAlignment w:val="auto"/>
        <w:rPr>
          <w:rFonts w:eastAsia="Calibri"/>
          <w:b/>
          <w:szCs w:val="24"/>
          <w:lang w:val="en-US" w:eastAsia="x-none"/>
        </w:rPr>
      </w:pPr>
    </w:p>
    <w:p w14:paraId="221871E5"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spacing w:before="0"/>
        <w:jc w:val="center"/>
        <w:textAlignment w:val="auto"/>
        <w:rPr>
          <w:rFonts w:eastAsia="Calibri"/>
          <w:b/>
          <w:szCs w:val="22"/>
          <w:lang w:val="en-US"/>
        </w:rPr>
      </w:pPr>
    </w:p>
    <w:p w14:paraId="1ED61C9C"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eastAsia="Calibri"/>
          <w:b/>
          <w:szCs w:val="22"/>
          <w:lang w:val="en-US"/>
        </w:rPr>
      </w:pPr>
      <w:r w:rsidRPr="00D84F33">
        <w:rPr>
          <w:rFonts w:eastAsia="Calibri"/>
          <w:b/>
          <w:szCs w:val="22"/>
          <w:lang w:val="en-US"/>
        </w:rPr>
        <w:t>MOD</w:t>
      </w:r>
      <w:r w:rsidRPr="00D84F33">
        <w:rPr>
          <w:rFonts w:eastAsia="Calibri"/>
          <w:b/>
          <w:szCs w:val="22"/>
          <w:lang w:val="en-US"/>
        </w:rPr>
        <w:tab/>
      </w:r>
      <w:r w:rsidRPr="00D84F33">
        <w:rPr>
          <w:rFonts w:eastAsia="Calibri"/>
          <w:b/>
          <w:szCs w:val="22"/>
          <w:lang w:val="en-US"/>
        </w:rPr>
        <w:tab/>
        <w:t>USA/10/[ISL-1]</w:t>
      </w:r>
    </w:p>
    <w:p w14:paraId="17144BEA"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eastAsia="Calibri"/>
          <w:b/>
          <w:szCs w:val="22"/>
          <w:lang w:val="en-US"/>
        </w:rPr>
      </w:pPr>
    </w:p>
    <w:p w14:paraId="00B10F2D" w14:textId="77777777" w:rsidR="00D84F33" w:rsidRPr="00D84F33" w:rsidRDefault="00D84F33" w:rsidP="00D84F33">
      <w:pPr>
        <w:jc w:val="center"/>
        <w:textAlignment w:val="auto"/>
        <w:rPr>
          <w:bCs/>
          <w:sz w:val="28"/>
          <w:szCs w:val="28"/>
        </w:rPr>
      </w:pPr>
      <w:r w:rsidRPr="00D84F33">
        <w:rPr>
          <w:bCs/>
          <w:sz w:val="28"/>
          <w:szCs w:val="28"/>
        </w:rPr>
        <w:t>RESOLUTION 810 (WRC</w:t>
      </w:r>
      <w:r w:rsidRPr="00D84F33">
        <w:rPr>
          <w:bCs/>
          <w:sz w:val="28"/>
          <w:szCs w:val="28"/>
        </w:rPr>
        <w:noBreakHyphen/>
        <w:t>19)</w:t>
      </w:r>
    </w:p>
    <w:p w14:paraId="239FE98C" w14:textId="77777777" w:rsidR="00D84F33" w:rsidRPr="00D84F33" w:rsidRDefault="00D84F33" w:rsidP="00D84F33">
      <w:pPr>
        <w:textAlignment w:val="auto"/>
        <w:rPr>
          <w:sz w:val="2"/>
        </w:rPr>
      </w:pPr>
    </w:p>
    <w:p w14:paraId="48CF5C2D" w14:textId="77777777" w:rsidR="00D84F33" w:rsidRPr="00D84F33" w:rsidRDefault="00D84F33" w:rsidP="00D84F33">
      <w:pPr>
        <w:keepNext/>
        <w:keepLines/>
        <w:spacing w:before="240"/>
        <w:jc w:val="center"/>
        <w:textAlignment w:val="auto"/>
        <w:rPr>
          <w:rFonts w:ascii="Times New Roman Bold" w:eastAsia="Calibri" w:hAnsi="Times New Roman Bold" w:cs="Times New Roman Bold"/>
          <w:b/>
          <w:sz w:val="28"/>
          <w:szCs w:val="22"/>
        </w:rPr>
      </w:pPr>
      <w:r w:rsidRPr="00D84F33">
        <w:rPr>
          <w:rFonts w:ascii="Times New Roman Bold" w:eastAsia="Calibri" w:hAnsi="Times New Roman Bold" w:cs="Times New Roman Bold"/>
          <w:b/>
          <w:sz w:val="28"/>
          <w:szCs w:val="22"/>
        </w:rPr>
        <w:t>Agenda for the 2023 World Radiocommunication Conference</w:t>
      </w:r>
    </w:p>
    <w:p w14:paraId="56101827" w14:textId="77777777" w:rsidR="00D84F33" w:rsidRPr="00D84F33" w:rsidRDefault="00D84F33" w:rsidP="00D84F33">
      <w:pPr>
        <w:tabs>
          <w:tab w:val="left" w:pos="720"/>
        </w:tabs>
        <w:overflowPunct/>
        <w:autoSpaceDE/>
        <w:adjustRightInd/>
        <w:spacing w:before="0" w:after="147" w:line="247" w:lineRule="auto"/>
        <w:ind w:left="-5" w:hanging="10"/>
        <w:jc w:val="both"/>
        <w:textAlignment w:val="auto"/>
        <w:rPr>
          <w:color w:val="000000"/>
          <w:szCs w:val="22"/>
          <w:lang w:val="en-US"/>
        </w:rPr>
      </w:pPr>
    </w:p>
    <w:p w14:paraId="427B849B" w14:textId="77777777" w:rsidR="00D84F33" w:rsidRPr="00D84F33" w:rsidRDefault="00D84F33" w:rsidP="00D84F33">
      <w:pPr>
        <w:tabs>
          <w:tab w:val="left" w:pos="720"/>
        </w:tabs>
        <w:overflowPunct/>
        <w:autoSpaceDE/>
        <w:adjustRightInd/>
        <w:spacing w:before="0" w:after="147" w:line="247" w:lineRule="auto"/>
        <w:ind w:left="-5" w:hanging="10"/>
        <w:jc w:val="both"/>
        <w:textAlignment w:val="auto"/>
        <w:rPr>
          <w:color w:val="000000"/>
          <w:szCs w:val="22"/>
          <w:lang w:val="en-US"/>
        </w:rPr>
      </w:pPr>
      <w:r w:rsidRPr="00D84F33">
        <w:rPr>
          <w:color w:val="000000"/>
          <w:szCs w:val="22"/>
          <w:lang w:val="en-US"/>
        </w:rPr>
        <w:t xml:space="preserve">The World Radiocommunication Conference (Sharm-el-Sheikh, 2019), </w:t>
      </w:r>
    </w:p>
    <w:p w14:paraId="179B127E" w14:textId="77777777" w:rsidR="00D84F33" w:rsidRPr="00D84F33" w:rsidRDefault="00D84F33" w:rsidP="00D84F33">
      <w:pPr>
        <w:tabs>
          <w:tab w:val="clear" w:pos="1134"/>
          <w:tab w:val="clear" w:pos="1871"/>
          <w:tab w:val="clear" w:pos="2268"/>
          <w:tab w:val="left" w:pos="576"/>
          <w:tab w:val="left" w:pos="720"/>
          <w:tab w:val="left" w:pos="792"/>
          <w:tab w:val="left" w:pos="1008"/>
          <w:tab w:val="left" w:pos="1224"/>
          <w:tab w:val="left" w:pos="1440"/>
        </w:tabs>
        <w:overflowPunct/>
        <w:autoSpaceDE/>
        <w:autoSpaceDN/>
        <w:adjustRightInd/>
        <w:spacing w:before="0" w:after="147" w:line="247" w:lineRule="auto"/>
        <w:jc w:val="both"/>
        <w:textAlignment w:val="auto"/>
        <w:rPr>
          <w:rFonts w:eastAsia="Calibri"/>
          <w:color w:val="000000"/>
          <w:szCs w:val="22"/>
          <w:lang w:val="en-US"/>
        </w:rPr>
      </w:pPr>
      <w:r w:rsidRPr="00D84F33">
        <w:rPr>
          <w:rFonts w:eastAsia="Calibri"/>
          <w:color w:val="000000"/>
          <w:szCs w:val="22"/>
          <w:lang w:val="en-US"/>
        </w:rPr>
        <w:t>* * *</w:t>
      </w:r>
    </w:p>
    <w:p w14:paraId="332119A1" w14:textId="77777777" w:rsidR="00D84F33" w:rsidRPr="00D84F33" w:rsidRDefault="00D84F33" w:rsidP="00D84F33">
      <w:pPr>
        <w:keepNext/>
        <w:keepLines/>
        <w:tabs>
          <w:tab w:val="left" w:pos="720"/>
        </w:tabs>
        <w:overflowPunct/>
        <w:autoSpaceDE/>
        <w:adjustRightInd/>
        <w:spacing w:before="0" w:after="95" w:line="256" w:lineRule="auto"/>
        <w:ind w:left="1128" w:hanging="10"/>
        <w:textAlignment w:val="auto"/>
        <w:outlineLvl w:val="0"/>
        <w:rPr>
          <w:i/>
          <w:color w:val="000000"/>
          <w:szCs w:val="22"/>
          <w:lang w:val="en-US"/>
        </w:rPr>
      </w:pPr>
      <w:r w:rsidRPr="00D84F33">
        <w:rPr>
          <w:i/>
          <w:color w:val="000000"/>
          <w:szCs w:val="22"/>
          <w:lang w:val="en-US"/>
        </w:rPr>
        <w:t xml:space="preserve">resolves to give the view </w:t>
      </w:r>
    </w:p>
    <w:p w14:paraId="17E115A0" w14:textId="77777777" w:rsidR="00D84F33" w:rsidRPr="00D84F33" w:rsidRDefault="00D84F33" w:rsidP="00D84F33">
      <w:pPr>
        <w:tabs>
          <w:tab w:val="left" w:pos="720"/>
        </w:tabs>
        <w:overflowPunct/>
        <w:autoSpaceDE/>
        <w:adjustRightInd/>
        <w:spacing w:before="0" w:after="109" w:line="247" w:lineRule="auto"/>
        <w:ind w:left="-5" w:hanging="10"/>
        <w:jc w:val="both"/>
        <w:textAlignment w:val="auto"/>
        <w:rPr>
          <w:color w:val="000000"/>
          <w:szCs w:val="22"/>
          <w:lang w:val="en-US"/>
        </w:rPr>
      </w:pPr>
      <w:r w:rsidRPr="00D84F33">
        <w:rPr>
          <w:color w:val="000000"/>
          <w:szCs w:val="22"/>
          <w:lang w:val="en-US"/>
        </w:rPr>
        <w:t xml:space="preserve">that the following items should be included in the agenda for WRC-23: </w:t>
      </w:r>
    </w:p>
    <w:p w14:paraId="31075053" w14:textId="77777777" w:rsidR="00D84F33" w:rsidRPr="00D84F33" w:rsidRDefault="00D84F33" w:rsidP="00D84F33">
      <w:pPr>
        <w:tabs>
          <w:tab w:val="left" w:pos="720"/>
        </w:tabs>
        <w:spacing w:after="147" w:line="247" w:lineRule="auto"/>
        <w:ind w:left="10"/>
        <w:contextualSpacing/>
        <w:jc w:val="both"/>
        <w:rPr>
          <w:color w:val="000000"/>
        </w:rPr>
      </w:pPr>
      <w:r w:rsidRPr="00D84F33">
        <w:rPr>
          <w:color w:val="000000"/>
        </w:rPr>
        <w:t>* * *</w:t>
      </w:r>
    </w:p>
    <w:p w14:paraId="00A158A6" w14:textId="77777777" w:rsidR="00D84F33" w:rsidRPr="00D84F33" w:rsidRDefault="00D84F33" w:rsidP="00D84F33">
      <w:pPr>
        <w:tabs>
          <w:tab w:val="left" w:pos="720"/>
        </w:tabs>
        <w:overflowPunct/>
        <w:autoSpaceDE/>
        <w:adjustRightInd/>
        <w:spacing w:before="0" w:after="109" w:line="247" w:lineRule="auto"/>
        <w:ind w:left="-5" w:hanging="10"/>
        <w:jc w:val="both"/>
        <w:textAlignment w:val="auto"/>
        <w:rPr>
          <w:color w:val="000000"/>
          <w:szCs w:val="22"/>
          <w:lang w:val="en-US"/>
        </w:rPr>
      </w:pPr>
      <w:r w:rsidRPr="00D84F33">
        <w:rPr>
          <w:color w:val="000000"/>
          <w:szCs w:val="22"/>
          <w:lang w:val="en-US"/>
        </w:rPr>
        <w:t>2</w:t>
      </w:r>
      <w:r w:rsidRPr="00D84F33">
        <w:rPr>
          <w:color w:val="000000"/>
          <w:szCs w:val="22"/>
          <w:lang w:val="en-US"/>
        </w:rPr>
        <w:tab/>
        <w:t xml:space="preserve">on the basis of proposals from administrations and the Report of the Conference Preparatory Meeting, and taking account of the results of WRC-19, to consider and take appropriate action in respect of the following items: </w:t>
      </w:r>
    </w:p>
    <w:p w14:paraId="48D27946" w14:textId="77777777" w:rsidR="00D84F33" w:rsidRPr="00D84F33" w:rsidRDefault="00D84F33" w:rsidP="00D84F33">
      <w:pPr>
        <w:tabs>
          <w:tab w:val="left" w:pos="720"/>
        </w:tabs>
        <w:spacing w:after="147" w:line="247" w:lineRule="auto"/>
        <w:ind w:left="10"/>
        <w:contextualSpacing/>
        <w:jc w:val="both"/>
        <w:rPr>
          <w:color w:val="000000"/>
        </w:rPr>
      </w:pPr>
      <w:r w:rsidRPr="00D84F33">
        <w:rPr>
          <w:color w:val="000000"/>
        </w:rPr>
        <w:t>* * *</w:t>
      </w:r>
    </w:p>
    <w:p w14:paraId="4D834946" w14:textId="250B797D" w:rsidR="00D84F33" w:rsidRPr="00D84F33" w:rsidRDefault="00D84F33" w:rsidP="00D84F33">
      <w:pPr>
        <w:numPr>
          <w:ilvl w:val="1"/>
          <w:numId w:val="14"/>
        </w:numPr>
        <w:tabs>
          <w:tab w:val="clear" w:pos="1134"/>
          <w:tab w:val="clear" w:pos="1871"/>
          <w:tab w:val="clear" w:pos="2268"/>
          <w:tab w:val="left" w:pos="576"/>
          <w:tab w:val="left" w:pos="720"/>
          <w:tab w:val="left" w:pos="792"/>
          <w:tab w:val="left" w:pos="1008"/>
          <w:tab w:val="left" w:pos="1224"/>
          <w:tab w:val="left" w:pos="1440"/>
        </w:tabs>
        <w:overflowPunct/>
        <w:autoSpaceDE/>
        <w:autoSpaceDN/>
        <w:adjustRightInd/>
        <w:spacing w:before="0" w:after="109" w:line="247" w:lineRule="auto"/>
        <w:jc w:val="both"/>
        <w:textAlignment w:val="auto"/>
        <w:rPr>
          <w:color w:val="000000"/>
          <w:szCs w:val="22"/>
          <w:lang w:val="en-US"/>
        </w:rPr>
      </w:pPr>
      <w:bookmarkStart w:id="7" w:name="_Hlk14427747"/>
      <w:bookmarkStart w:id="8" w:name="_Hlk14350927"/>
      <w:r w:rsidRPr="00D84F33">
        <w:rPr>
          <w:color w:val="000000"/>
          <w:szCs w:val="22"/>
          <w:lang w:val="en-US"/>
        </w:rPr>
        <w:t xml:space="preserve">to </w:t>
      </w:r>
      <w:r w:rsidR="00FE3F0D">
        <w:rPr>
          <w:color w:val="000000"/>
          <w:szCs w:val="22"/>
          <w:lang w:val="en-US"/>
        </w:rPr>
        <w:t>consider additional allocations and regulatory conditions for the inter-satellite service (ISS),</w:t>
      </w:r>
      <w:r w:rsidRPr="00D84F33">
        <w:rPr>
          <w:color w:val="000000"/>
          <w:szCs w:val="22"/>
          <w:lang w:val="en-US"/>
        </w:rPr>
        <w:t xml:space="preserve"> under which space-to-space transmissions </w:t>
      </w:r>
      <w:r w:rsidR="002354EB" w:rsidRPr="009D20BD">
        <w:rPr>
          <w:color w:val="000000"/>
        </w:rPr>
        <w:t xml:space="preserve">in the same direction (Earth-to-space or space-to-Earth) as the current </w:t>
      </w:r>
      <w:r w:rsidR="00FE3F0D">
        <w:rPr>
          <w:color w:val="000000"/>
        </w:rPr>
        <w:t xml:space="preserve">fixed and mobile </w:t>
      </w:r>
      <w:r w:rsidR="002354EB" w:rsidRPr="009D20BD">
        <w:rPr>
          <w:color w:val="000000"/>
        </w:rPr>
        <w:t>satellite service allocations,</w:t>
      </w:r>
      <w:r w:rsidR="002354EB">
        <w:rPr>
          <w:color w:val="000000"/>
        </w:rPr>
        <w:t xml:space="preserve"> </w:t>
      </w:r>
      <w:r w:rsidRPr="00D84F33">
        <w:rPr>
          <w:color w:val="000000"/>
          <w:szCs w:val="22"/>
          <w:lang w:val="en-US"/>
        </w:rPr>
        <w:t>between non-geostationary orbit (non-GSO) space stations</w:t>
      </w:r>
      <w:r w:rsidR="002354EB">
        <w:rPr>
          <w:color w:val="000000"/>
          <w:szCs w:val="22"/>
          <w:lang w:val="en-US"/>
        </w:rPr>
        <w:t xml:space="preserve"> at different orbital altitudes or between</w:t>
      </w:r>
      <w:bookmarkStart w:id="9" w:name="_Hlk7174434"/>
      <w:r w:rsidRPr="00D84F33">
        <w:rPr>
          <w:color w:val="000000"/>
          <w:szCs w:val="22"/>
          <w:lang w:val="en-US"/>
        </w:rPr>
        <w:t xml:space="preserve"> non-GSO </w:t>
      </w:r>
      <w:r w:rsidR="002354EB">
        <w:rPr>
          <w:color w:val="000000"/>
          <w:szCs w:val="22"/>
          <w:lang w:val="en-US"/>
        </w:rPr>
        <w:t>and</w:t>
      </w:r>
      <w:r w:rsidR="002354EB" w:rsidRPr="00D84F33">
        <w:rPr>
          <w:color w:val="000000"/>
          <w:szCs w:val="22"/>
          <w:lang w:val="en-US"/>
        </w:rPr>
        <w:t xml:space="preserve"> </w:t>
      </w:r>
      <w:r w:rsidRPr="00D84F33">
        <w:rPr>
          <w:color w:val="000000"/>
          <w:szCs w:val="22"/>
          <w:lang w:val="en-US"/>
        </w:rPr>
        <w:t xml:space="preserve">geostationary orbit </w:t>
      </w:r>
      <w:r w:rsidR="002354EB">
        <w:rPr>
          <w:color w:val="000000"/>
          <w:szCs w:val="22"/>
          <w:lang w:val="en-US"/>
        </w:rPr>
        <w:t xml:space="preserve">(GSO) </w:t>
      </w:r>
      <w:r w:rsidRPr="00D84F33">
        <w:rPr>
          <w:color w:val="000000"/>
          <w:szCs w:val="22"/>
          <w:lang w:val="en-US"/>
        </w:rPr>
        <w:t>space stations</w:t>
      </w:r>
      <w:bookmarkEnd w:id="9"/>
      <w:r w:rsidRPr="00D84F33">
        <w:rPr>
          <w:color w:val="000000"/>
          <w:szCs w:val="22"/>
          <w:lang w:val="en-US"/>
        </w:rPr>
        <w:t xml:space="preserve"> may be accommodated</w:t>
      </w:r>
      <w:r w:rsidR="00FE3F0D">
        <w:rPr>
          <w:color w:val="000000"/>
          <w:szCs w:val="22"/>
          <w:lang w:val="en-US"/>
        </w:rPr>
        <w:t>, in accordance with Resolution [</w:t>
      </w:r>
      <w:r w:rsidR="00FE3F0D">
        <w:rPr>
          <w:b/>
          <w:szCs w:val="22"/>
          <w:lang w:val="en-US"/>
        </w:rPr>
        <w:t>A10</w:t>
      </w:r>
      <w:r w:rsidR="00FE3F0D" w:rsidRPr="00D84F33">
        <w:rPr>
          <w:b/>
          <w:szCs w:val="22"/>
          <w:lang w:val="en-US"/>
        </w:rPr>
        <w:t>-ISL] (WRC-19)</w:t>
      </w:r>
      <w:r w:rsidR="00FE3F0D" w:rsidRPr="00D84F33">
        <w:rPr>
          <w:szCs w:val="22"/>
          <w:lang w:val="en-US"/>
        </w:rPr>
        <w:t xml:space="preserve">; </w:t>
      </w:r>
      <w:bookmarkEnd w:id="7"/>
    </w:p>
    <w:bookmarkEnd w:id="8"/>
    <w:p w14:paraId="6A5B621B" w14:textId="77777777" w:rsidR="00D84F33" w:rsidRPr="00D84F33" w:rsidRDefault="00D84F33" w:rsidP="00D84F33">
      <w:pPr>
        <w:tabs>
          <w:tab w:val="left" w:pos="720"/>
        </w:tabs>
        <w:spacing w:after="109" w:line="247" w:lineRule="auto"/>
        <w:ind w:left="1080"/>
        <w:jc w:val="both"/>
        <w:textAlignment w:val="auto"/>
        <w:rPr>
          <w:color w:val="000000"/>
          <w:szCs w:val="22"/>
          <w:lang w:val="en-US"/>
        </w:rPr>
      </w:pPr>
    </w:p>
    <w:p w14:paraId="4ECF9E4B" w14:textId="77777777" w:rsidR="00D84F33" w:rsidRPr="00D84F33" w:rsidRDefault="00D84F33" w:rsidP="00D84F33">
      <w:pPr>
        <w:tabs>
          <w:tab w:val="clear" w:pos="1134"/>
          <w:tab w:val="clear" w:pos="1871"/>
          <w:tab w:val="clear" w:pos="2268"/>
        </w:tabs>
        <w:spacing w:after="109" w:line="247" w:lineRule="auto"/>
        <w:ind w:left="720"/>
        <w:jc w:val="both"/>
        <w:textAlignment w:val="auto"/>
        <w:rPr>
          <w:color w:val="000000"/>
          <w:szCs w:val="22"/>
          <w:lang w:val="en-US"/>
        </w:rPr>
      </w:pPr>
      <w:bookmarkStart w:id="10" w:name="_Hlk13835133"/>
    </w:p>
    <w:bookmarkEnd w:id="10"/>
    <w:p w14:paraId="0DF88016" w14:textId="77777777" w:rsidR="00D84F33" w:rsidRPr="00D84F33" w:rsidRDefault="00D84F33" w:rsidP="00D84F33">
      <w:pPr>
        <w:tabs>
          <w:tab w:val="left" w:pos="720"/>
        </w:tabs>
        <w:spacing w:after="147" w:line="247" w:lineRule="auto"/>
        <w:ind w:left="10"/>
        <w:contextualSpacing/>
        <w:jc w:val="both"/>
        <w:rPr>
          <w:color w:val="000000"/>
        </w:rPr>
      </w:pPr>
      <w:r w:rsidRPr="00D84F33">
        <w:rPr>
          <w:color w:val="000000"/>
        </w:rPr>
        <w:t>* * *</w:t>
      </w:r>
    </w:p>
    <w:p w14:paraId="1156817F"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eastAsia="Calibri"/>
          <w:b/>
          <w:szCs w:val="22"/>
          <w:lang w:val="en-US"/>
        </w:rPr>
      </w:pPr>
    </w:p>
    <w:p w14:paraId="3EB28CC6"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eastAsia="Calibri"/>
          <w:b/>
          <w:szCs w:val="22"/>
          <w:lang w:val="en-US"/>
        </w:rPr>
      </w:pPr>
    </w:p>
    <w:p w14:paraId="62CF6524"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jc w:val="both"/>
        <w:textAlignment w:val="auto"/>
        <w:rPr>
          <w:rFonts w:eastAsia="Calibri"/>
          <w:szCs w:val="24"/>
          <w:lang w:val="en-US"/>
        </w:rPr>
      </w:pPr>
      <w:r w:rsidRPr="00D84F33">
        <w:rPr>
          <w:rFonts w:eastAsia="Calibri"/>
          <w:szCs w:val="24"/>
          <w:lang w:val="en-US"/>
        </w:rPr>
        <w:br w:type="page"/>
      </w:r>
    </w:p>
    <w:p w14:paraId="4967EE6B"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eastAsia="Calibri"/>
          <w:b/>
          <w:szCs w:val="22"/>
          <w:lang w:val="en-US"/>
        </w:rPr>
      </w:pPr>
      <w:r w:rsidRPr="00D84F33">
        <w:rPr>
          <w:rFonts w:eastAsia="Calibri"/>
          <w:b/>
          <w:szCs w:val="22"/>
          <w:lang w:val="en-US"/>
        </w:rPr>
        <w:lastRenderedPageBreak/>
        <w:t>ADD</w:t>
      </w:r>
      <w:r w:rsidRPr="00D84F33">
        <w:rPr>
          <w:rFonts w:eastAsia="Calibri"/>
          <w:b/>
          <w:szCs w:val="22"/>
          <w:lang w:val="en-US"/>
        </w:rPr>
        <w:tab/>
      </w:r>
      <w:r w:rsidRPr="00D84F33">
        <w:rPr>
          <w:rFonts w:eastAsia="Calibri"/>
          <w:b/>
          <w:szCs w:val="22"/>
          <w:lang w:val="en-US"/>
        </w:rPr>
        <w:tab/>
      </w:r>
      <w:r w:rsidRPr="00D84F33">
        <w:rPr>
          <w:rFonts w:eastAsia="Calibri"/>
          <w:b/>
          <w:szCs w:val="22"/>
          <w:lang w:val="en-US"/>
        </w:rPr>
        <w:tab/>
        <w:t>USA/10/[ISL-2]</w:t>
      </w:r>
    </w:p>
    <w:p w14:paraId="33325EA1"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eastAsia="Calibri"/>
          <w:b/>
          <w:szCs w:val="22"/>
          <w:lang w:val="en-US"/>
        </w:rPr>
      </w:pPr>
    </w:p>
    <w:p w14:paraId="2E652593" w14:textId="2FD13885" w:rsidR="00D84F33" w:rsidRPr="00D84F33" w:rsidRDefault="00D84F33" w:rsidP="00D84F33">
      <w:pPr>
        <w:keepNext/>
        <w:keepLines/>
        <w:spacing w:before="480"/>
        <w:jc w:val="center"/>
        <w:rPr>
          <w:caps/>
          <w:sz w:val="28"/>
        </w:rPr>
      </w:pPr>
      <w:bookmarkStart w:id="11" w:name="a"/>
      <w:bookmarkEnd w:id="11"/>
      <w:r w:rsidRPr="00D84F33">
        <w:rPr>
          <w:caps/>
          <w:sz w:val="28"/>
        </w:rPr>
        <w:t>draft new RESOLUTION [A10-FSS-ISL] (WRC</w:t>
      </w:r>
      <w:r w:rsidRPr="00D84F33">
        <w:rPr>
          <w:caps/>
          <w:sz w:val="28"/>
        </w:rPr>
        <w:noBreakHyphen/>
        <w:t>19)</w:t>
      </w:r>
    </w:p>
    <w:p w14:paraId="795F3F22" w14:textId="77777777" w:rsidR="00D84F33" w:rsidRPr="00D84F33" w:rsidRDefault="00D84F33" w:rsidP="00D84F33">
      <w:pPr>
        <w:rPr>
          <w:lang w:val="en-US"/>
        </w:rPr>
      </w:pPr>
    </w:p>
    <w:p w14:paraId="5605E72C" w14:textId="7924C2EE" w:rsidR="00D84F33" w:rsidRPr="00D84F33" w:rsidRDefault="00D84F33" w:rsidP="00D84F33">
      <w:pPr>
        <w:keepNext/>
        <w:keepLines/>
        <w:spacing w:before="240"/>
        <w:jc w:val="center"/>
        <w:rPr>
          <w:rFonts w:ascii="Times New Roman Bold" w:hAnsi="Times New Roman Bold"/>
          <w:b/>
          <w:sz w:val="28"/>
        </w:rPr>
      </w:pPr>
      <w:r w:rsidRPr="00D84F33">
        <w:rPr>
          <w:rFonts w:ascii="Times New Roman Bold" w:hAnsi="Times New Roman Bold"/>
          <w:b/>
          <w:sz w:val="28"/>
        </w:rPr>
        <w:t>Study of technical, operational issues, and regulatory provisions for</w:t>
      </w:r>
      <w:r w:rsidR="00FE3F0D">
        <w:rPr>
          <w:rFonts w:ascii="Times New Roman Bold" w:hAnsi="Times New Roman Bold"/>
          <w:b/>
          <w:sz w:val="28"/>
        </w:rPr>
        <w:t xml:space="preserve"> additional inter-satellite service allocations for </w:t>
      </w:r>
      <w:proofErr w:type="gramStart"/>
      <w:r w:rsidR="00FE3F0D">
        <w:rPr>
          <w:rFonts w:ascii="Times New Roman Bold" w:hAnsi="Times New Roman Bold"/>
          <w:b/>
          <w:sz w:val="28"/>
        </w:rPr>
        <w:t xml:space="preserve">the </w:t>
      </w:r>
      <w:r w:rsidRPr="00D84F33">
        <w:rPr>
          <w:rFonts w:ascii="Times New Roman Bold" w:hAnsi="Times New Roman Bold"/>
          <w:b/>
          <w:sz w:val="28"/>
        </w:rPr>
        <w:t xml:space="preserve"> transmissions</w:t>
      </w:r>
      <w:proofErr w:type="gramEnd"/>
      <w:r w:rsidRPr="00D84F33">
        <w:rPr>
          <w:rFonts w:ascii="Times New Roman Bold" w:hAnsi="Times New Roman Bold"/>
          <w:b/>
          <w:sz w:val="28"/>
        </w:rPr>
        <w:t xml:space="preserve"> between non-geostationary orbit </w:t>
      </w:r>
      <w:r w:rsidRPr="00D84F33">
        <w:rPr>
          <w:rFonts w:ascii="Times New Roman Bold" w:hAnsi="Times New Roman Bold"/>
          <w:b/>
          <w:sz w:val="28"/>
          <w:lang w:val="en-US"/>
        </w:rPr>
        <w:t xml:space="preserve">space stations and non-geostationary or geostationary orbit space stations at different </w:t>
      </w:r>
      <w:r w:rsidRPr="00B50058">
        <w:rPr>
          <w:rFonts w:ascii="Times New Roman Bold" w:hAnsi="Times New Roman Bold"/>
          <w:b/>
          <w:sz w:val="28"/>
          <w:lang w:val="en-US"/>
        </w:rPr>
        <w:t xml:space="preserve">orbital altitudes </w:t>
      </w:r>
      <w:r w:rsidRPr="00B50058">
        <w:rPr>
          <w:rFonts w:ascii="Times New Roman Bold" w:hAnsi="Times New Roman Bold"/>
          <w:b/>
          <w:sz w:val="28"/>
        </w:rPr>
        <w:t xml:space="preserve">in the </w:t>
      </w:r>
      <w:r w:rsidRPr="00B50058">
        <w:rPr>
          <w:rFonts w:ascii="Times New Roman Bold" w:hAnsi="Times New Roman Bold"/>
          <w:b/>
          <w:sz w:val="28"/>
          <w:lang w:val="en-US"/>
        </w:rPr>
        <w:t xml:space="preserve">frequency </w:t>
      </w:r>
      <w:r w:rsidR="00FE3F0D" w:rsidRPr="00B50058">
        <w:rPr>
          <w:rFonts w:ascii="Times New Roman Bold" w:hAnsi="Times New Roman Bold"/>
          <w:b/>
          <w:sz w:val="28"/>
          <w:lang w:val="en-US"/>
        </w:rPr>
        <w:t xml:space="preserve">range 1 525 MHz – </w:t>
      </w:r>
      <w:r w:rsidR="00BE7925" w:rsidRPr="00B50058">
        <w:rPr>
          <w:rFonts w:ascii="Times New Roman Bold" w:hAnsi="Times New Roman Bold"/>
          <w:b/>
          <w:sz w:val="28"/>
          <w:lang w:val="en-US"/>
        </w:rPr>
        <w:t>50.2</w:t>
      </w:r>
      <w:r w:rsidR="00FE3F0D">
        <w:rPr>
          <w:rFonts w:ascii="Times New Roman Bold" w:hAnsi="Times New Roman Bold"/>
          <w:b/>
          <w:sz w:val="28"/>
          <w:lang w:val="en-US"/>
        </w:rPr>
        <w:t xml:space="preserve"> GHz</w:t>
      </w:r>
      <w:r w:rsidR="00FE3F0D" w:rsidRPr="00D84F33">
        <w:rPr>
          <w:rFonts w:ascii="Times New Roman Bold" w:hAnsi="Times New Roman Bold"/>
          <w:b/>
          <w:sz w:val="28"/>
          <w:lang w:val="en-US"/>
        </w:rPr>
        <w:t xml:space="preserve"> </w:t>
      </w:r>
    </w:p>
    <w:p w14:paraId="3B826B83" w14:textId="77777777" w:rsidR="00D84F33" w:rsidRPr="00D84F33" w:rsidRDefault="00D84F33" w:rsidP="00D84F33">
      <w:pPr>
        <w:spacing w:before="280"/>
      </w:pPr>
      <w:r w:rsidRPr="00D84F33">
        <w:t>The World Radiocommunication Conference (Sharm-el-Sheikh, 2019),</w:t>
      </w:r>
    </w:p>
    <w:p w14:paraId="156342FB" w14:textId="77777777" w:rsidR="00D84F33" w:rsidRPr="00D84F33" w:rsidRDefault="00D84F33" w:rsidP="00D84F33">
      <w:pPr>
        <w:keepNext/>
        <w:keepLines/>
        <w:spacing w:before="160"/>
        <w:ind w:left="1134"/>
        <w:rPr>
          <w:i/>
        </w:rPr>
      </w:pPr>
      <w:r w:rsidRPr="00D84F33">
        <w:rPr>
          <w:i/>
        </w:rPr>
        <w:t>considering</w:t>
      </w:r>
    </w:p>
    <w:p w14:paraId="44944B77" w14:textId="6EE8D820" w:rsidR="00D84F33" w:rsidRPr="00D84F33" w:rsidRDefault="001931EA" w:rsidP="00D84F33">
      <w:pPr>
        <w:rPr>
          <w:color w:val="000000"/>
        </w:rPr>
      </w:pPr>
      <w:r>
        <w:rPr>
          <w:i/>
          <w:color w:val="000000"/>
        </w:rPr>
        <w:t>a</w:t>
      </w:r>
      <w:r w:rsidR="00D84F33" w:rsidRPr="00D84F33">
        <w:rPr>
          <w:i/>
          <w:color w:val="000000"/>
        </w:rPr>
        <w:t>)</w:t>
      </w:r>
      <w:r w:rsidR="00D84F33" w:rsidRPr="00D84F33">
        <w:rPr>
          <w:color w:val="000000"/>
        </w:rPr>
        <w:tab/>
        <w:t xml:space="preserve">that the definition of inter-satellite service (ISS) in No. </w:t>
      </w:r>
      <w:r w:rsidR="00D84F33" w:rsidRPr="00D84F33">
        <w:rPr>
          <w:b/>
          <w:color w:val="000000"/>
        </w:rPr>
        <w:t>1.22</w:t>
      </w:r>
      <w:r w:rsidR="00D84F33" w:rsidRPr="00D84F33">
        <w:rPr>
          <w:color w:val="000000"/>
        </w:rPr>
        <w:t xml:space="preserve"> of the Radio Regulations includes only links between space stations;  </w:t>
      </w:r>
    </w:p>
    <w:p w14:paraId="081FE049" w14:textId="3237F5C0" w:rsidR="00D84F33" w:rsidRPr="00D84F33" w:rsidRDefault="001931EA" w:rsidP="00D84F33">
      <w:pPr>
        <w:rPr>
          <w:color w:val="000000"/>
        </w:rPr>
      </w:pPr>
      <w:r>
        <w:rPr>
          <w:i/>
          <w:color w:val="000000"/>
        </w:rPr>
        <w:t>b</w:t>
      </w:r>
      <w:r w:rsidR="00D84F33" w:rsidRPr="00D84F33">
        <w:rPr>
          <w:i/>
          <w:color w:val="000000"/>
        </w:rPr>
        <w:t>)</w:t>
      </w:r>
      <w:r w:rsidR="00D84F33" w:rsidRPr="00D84F33">
        <w:rPr>
          <w:color w:val="000000"/>
        </w:rPr>
        <w:tab/>
        <w:t xml:space="preserve">that of using the frequency bands </w:t>
      </w:r>
      <w:r w:rsidR="002354EB">
        <w:rPr>
          <w:color w:val="000000"/>
        </w:rPr>
        <w:t xml:space="preserve">allocated to the </w:t>
      </w:r>
      <w:r w:rsidR="002354EB" w:rsidRPr="00D84F33">
        <w:rPr>
          <w:color w:val="000000"/>
        </w:rPr>
        <w:t xml:space="preserve">FSS (Earth-to-space) </w:t>
      </w:r>
      <w:r w:rsidR="00FE3F0D">
        <w:rPr>
          <w:color w:val="000000"/>
        </w:rPr>
        <w:t xml:space="preserve">and MSS (Earth-to-space) </w:t>
      </w:r>
      <w:r w:rsidR="00D84F33" w:rsidRPr="00D84F33">
        <w:rPr>
          <w:color w:val="000000"/>
        </w:rPr>
        <w:t xml:space="preserve">for transmissions in the Earth-to-space direction from non-geostationary orbit (non-GSO) satellites toward FSS satellites operating in higher </w:t>
      </w:r>
      <w:r w:rsidR="00D84F33" w:rsidRPr="00D84F33">
        <w:rPr>
          <w:rFonts w:eastAsia="Calibri"/>
          <w:szCs w:val="24"/>
        </w:rPr>
        <w:t xml:space="preserve">orbital </w:t>
      </w:r>
      <w:r w:rsidR="00D84F33" w:rsidRPr="00D84F33">
        <w:rPr>
          <w:color w:val="000000"/>
        </w:rPr>
        <w:t>altitudes including geostationary orbit (GSO) may increase spectral efficiency in these frequency bands;</w:t>
      </w:r>
    </w:p>
    <w:p w14:paraId="49EC1202" w14:textId="27DB9307" w:rsidR="00D84F33" w:rsidRPr="00D84F33" w:rsidRDefault="001931EA" w:rsidP="00D84F33">
      <w:pPr>
        <w:rPr>
          <w:color w:val="000000"/>
        </w:rPr>
      </w:pPr>
      <w:r>
        <w:rPr>
          <w:i/>
          <w:color w:val="000000"/>
        </w:rPr>
        <w:t>c</w:t>
      </w:r>
      <w:r w:rsidR="00D84F33" w:rsidRPr="00D84F33">
        <w:rPr>
          <w:i/>
          <w:color w:val="000000"/>
        </w:rPr>
        <w:t>)</w:t>
      </w:r>
      <w:r w:rsidR="00D84F33" w:rsidRPr="00D84F33">
        <w:rPr>
          <w:color w:val="000000"/>
        </w:rPr>
        <w:tab/>
        <w:t xml:space="preserve">that using </w:t>
      </w:r>
      <w:r w:rsidR="002354EB">
        <w:rPr>
          <w:color w:val="000000"/>
        </w:rPr>
        <w:t>frequency</w:t>
      </w:r>
      <w:r w:rsidR="002354EB" w:rsidRPr="00D84F33">
        <w:rPr>
          <w:color w:val="000000"/>
        </w:rPr>
        <w:t xml:space="preserve"> </w:t>
      </w:r>
      <w:r w:rsidR="00D84F33" w:rsidRPr="00D84F33">
        <w:rPr>
          <w:color w:val="000000"/>
        </w:rPr>
        <w:t xml:space="preserve">bands </w:t>
      </w:r>
      <w:r w:rsidR="002354EB">
        <w:rPr>
          <w:color w:val="000000"/>
        </w:rPr>
        <w:t xml:space="preserve">allocated to the FSS (space-to-Earth) </w:t>
      </w:r>
      <w:r w:rsidR="00FE3F0D">
        <w:rPr>
          <w:color w:val="000000"/>
        </w:rPr>
        <w:t>and MSS (space-to-</w:t>
      </w:r>
      <w:proofErr w:type="gramStart"/>
      <w:r w:rsidR="00FE3F0D">
        <w:rPr>
          <w:color w:val="000000"/>
        </w:rPr>
        <w:t>Earth)</w:t>
      </w:r>
      <w:r w:rsidR="002354EB" w:rsidRPr="00D84F33">
        <w:rPr>
          <w:color w:val="000000"/>
        </w:rPr>
        <w:t>for</w:t>
      </w:r>
      <w:proofErr w:type="gramEnd"/>
      <w:r w:rsidR="002354EB" w:rsidRPr="00D84F33">
        <w:rPr>
          <w:color w:val="000000"/>
        </w:rPr>
        <w:t xml:space="preserve"> transmissions in the </w:t>
      </w:r>
      <w:r w:rsidR="002354EB">
        <w:rPr>
          <w:color w:val="000000"/>
        </w:rPr>
        <w:t>s</w:t>
      </w:r>
      <w:r w:rsidR="002354EB" w:rsidRPr="00D84F33">
        <w:rPr>
          <w:color w:val="000000"/>
        </w:rPr>
        <w:t>pace</w:t>
      </w:r>
      <w:r w:rsidR="002354EB">
        <w:rPr>
          <w:color w:val="000000"/>
        </w:rPr>
        <w:t>-to-Earth</w:t>
      </w:r>
      <w:r w:rsidR="002354EB" w:rsidRPr="00D84F33">
        <w:rPr>
          <w:color w:val="000000"/>
        </w:rPr>
        <w:t xml:space="preserve"> direction from </w:t>
      </w:r>
      <w:r w:rsidR="002354EB">
        <w:rPr>
          <w:color w:val="000000"/>
        </w:rPr>
        <w:t xml:space="preserve">FSS satellites </w:t>
      </w:r>
      <w:r w:rsidR="002354EB" w:rsidRPr="00D84F33">
        <w:rPr>
          <w:color w:val="000000"/>
        </w:rPr>
        <w:t xml:space="preserve">operating in higher </w:t>
      </w:r>
      <w:r w:rsidR="002354EB" w:rsidRPr="00D84F33">
        <w:rPr>
          <w:rFonts w:eastAsia="Calibri"/>
          <w:szCs w:val="24"/>
        </w:rPr>
        <w:t xml:space="preserve">orbital </w:t>
      </w:r>
      <w:r w:rsidR="002354EB" w:rsidRPr="00D84F33">
        <w:rPr>
          <w:color w:val="000000"/>
        </w:rPr>
        <w:t xml:space="preserve">altitudes </w:t>
      </w:r>
      <w:r w:rsidR="002354EB">
        <w:rPr>
          <w:color w:val="000000"/>
        </w:rPr>
        <w:t>including the GSO toward non-GSO satellites</w:t>
      </w:r>
      <w:r w:rsidR="00D84F33" w:rsidRPr="00D84F33">
        <w:rPr>
          <w:color w:val="000000"/>
        </w:rPr>
        <w:t xml:space="preserve"> may increase spectral efficiency in these frequency bands ;</w:t>
      </w:r>
    </w:p>
    <w:p w14:paraId="52D41D80" w14:textId="3FD3F6B1" w:rsidR="00D84F33" w:rsidRDefault="00FE3F0D" w:rsidP="00D84F33">
      <w:r>
        <w:rPr>
          <w:i/>
        </w:rPr>
        <w:t>d</w:t>
      </w:r>
      <w:r w:rsidR="00D84F33" w:rsidRPr="00D84F33">
        <w:rPr>
          <w:i/>
        </w:rPr>
        <w:t>)</w:t>
      </w:r>
      <w:r w:rsidR="00D84F33" w:rsidRPr="00D84F33">
        <w:tab/>
        <w:t xml:space="preserve">that </w:t>
      </w:r>
      <w:r w:rsidR="00874F68" w:rsidRPr="00C02EC4">
        <w:t>most</w:t>
      </w:r>
      <w:r w:rsidR="00874F68" w:rsidRPr="00D84F33">
        <w:t xml:space="preserve"> </w:t>
      </w:r>
      <w:r w:rsidR="00D84F33" w:rsidRPr="00D84F33">
        <w:t>allocations to the</w:t>
      </w:r>
      <w:r>
        <w:t xml:space="preserve"> </w:t>
      </w:r>
      <w:r w:rsidR="00D84F33" w:rsidRPr="00D84F33">
        <w:rPr>
          <w:rFonts w:eastAsia="Calibri"/>
          <w:bCs/>
          <w:szCs w:val="24"/>
          <w:lang w:val="en-US"/>
        </w:rPr>
        <w:t xml:space="preserve">fixed-satellite </w:t>
      </w:r>
      <w:r>
        <w:rPr>
          <w:rFonts w:eastAsia="Calibri"/>
          <w:bCs/>
          <w:szCs w:val="24"/>
          <w:lang w:val="en-US"/>
        </w:rPr>
        <w:t xml:space="preserve">and mobile satellite </w:t>
      </w:r>
      <w:r w:rsidR="00D84F33" w:rsidRPr="00D84F33">
        <w:rPr>
          <w:rFonts w:eastAsia="Calibri"/>
          <w:bCs/>
          <w:szCs w:val="24"/>
          <w:lang w:val="en-US"/>
        </w:rPr>
        <w:t>service include a space-to-Earth or Earth-to-space direction indicator,</w:t>
      </w:r>
      <w:r w:rsidR="00D84F33" w:rsidRPr="00D84F33">
        <w:t xml:space="preserve"> </w:t>
      </w:r>
    </w:p>
    <w:p w14:paraId="7297B71F" w14:textId="109D726F" w:rsidR="00B50058" w:rsidRPr="00F35F98" w:rsidRDefault="00FE3F0D" w:rsidP="00FE3F0D">
      <w:r>
        <w:rPr>
          <w:rFonts w:eastAsia="Calibri"/>
          <w:bCs/>
          <w:i/>
          <w:iCs/>
          <w:szCs w:val="24"/>
          <w:lang w:val="en-US"/>
        </w:rPr>
        <w:t>e</w:t>
      </w:r>
      <w:r w:rsidRPr="00D84F33">
        <w:rPr>
          <w:rFonts w:eastAsia="Calibri"/>
          <w:bCs/>
          <w:i/>
          <w:iCs/>
          <w:szCs w:val="24"/>
          <w:lang w:val="en-US"/>
        </w:rPr>
        <w:t>)</w:t>
      </w:r>
      <w:r w:rsidRPr="00D84F33">
        <w:rPr>
          <w:rFonts w:eastAsia="Calibri"/>
          <w:bCs/>
          <w:szCs w:val="24"/>
          <w:lang w:val="en-US"/>
        </w:rPr>
        <w:tab/>
        <w:t>that it is technically feasible for a lower orbital altitude non-GSO satellite station to transmit data to and receive data from a higher orb</w:t>
      </w:r>
      <w:r>
        <w:rPr>
          <w:rFonts w:eastAsia="Calibri"/>
          <w:bCs/>
          <w:szCs w:val="24"/>
          <w:lang w:val="en-US"/>
        </w:rPr>
        <w:t>ital altitude non-GSO or GSO</w:t>
      </w:r>
      <w:r w:rsidRPr="00D84F33">
        <w:rPr>
          <w:rFonts w:eastAsia="Calibri"/>
          <w:bCs/>
          <w:szCs w:val="24"/>
          <w:lang w:val="en-US"/>
        </w:rPr>
        <w:t xml:space="preserve"> satellite when pa</w:t>
      </w:r>
      <w:r>
        <w:rPr>
          <w:rFonts w:eastAsia="Calibri"/>
          <w:bCs/>
          <w:szCs w:val="24"/>
          <w:lang w:val="en-US"/>
        </w:rPr>
        <w:t>ssing within the</w:t>
      </w:r>
      <w:r w:rsidRPr="00D84F33">
        <w:rPr>
          <w:rFonts w:eastAsia="Calibri"/>
          <w:bCs/>
          <w:szCs w:val="24"/>
          <w:lang w:val="en-US"/>
        </w:rPr>
        <w:t xml:space="preserve"> satellite antenna coverage beam that is </w:t>
      </w:r>
      <w:r w:rsidRPr="00D84F33">
        <w:t>directed toward the Earth,</w:t>
      </w:r>
    </w:p>
    <w:p w14:paraId="7A8907B1" w14:textId="77777777" w:rsidR="00D84F33" w:rsidRPr="00D84F33" w:rsidRDefault="00D84F33" w:rsidP="00D84F33">
      <w:pPr>
        <w:keepNext/>
        <w:keepLines/>
        <w:spacing w:before="160"/>
        <w:ind w:left="1134"/>
        <w:rPr>
          <w:i/>
        </w:rPr>
      </w:pPr>
      <w:r w:rsidRPr="00D84F33">
        <w:rPr>
          <w:i/>
        </w:rPr>
        <w:t>recognizing</w:t>
      </w:r>
    </w:p>
    <w:p w14:paraId="75F9074F" w14:textId="444E533B" w:rsidR="00D84F33" w:rsidRPr="00B50058" w:rsidRDefault="00D84F33" w:rsidP="00D84F33">
      <w:r w:rsidRPr="00D84F33">
        <w:rPr>
          <w:i/>
        </w:rPr>
        <w:t>a)</w:t>
      </w:r>
      <w:r w:rsidRPr="00D84F33">
        <w:tab/>
        <w:t xml:space="preserve">that it is </w:t>
      </w:r>
      <w:r w:rsidRPr="00B50058">
        <w:t xml:space="preserve">necessary to </w:t>
      </w:r>
      <w:r w:rsidR="00C02347" w:rsidRPr="00B50058">
        <w:t>study</w:t>
      </w:r>
      <w:r w:rsidRPr="00B50058">
        <w:t xml:space="preserve"> the </w:t>
      </w:r>
      <w:r w:rsidR="00C81113" w:rsidRPr="00B50058">
        <w:t>potential impact to</w:t>
      </w:r>
      <w:r w:rsidRPr="00B50058">
        <w:t xml:space="preserve"> </w:t>
      </w:r>
      <w:r w:rsidR="00FE3F0D" w:rsidRPr="00B50058">
        <w:t xml:space="preserve">other services  in the </w:t>
      </w:r>
      <w:r w:rsidRPr="00B50058">
        <w:rPr>
          <w:color w:val="000000"/>
        </w:rPr>
        <w:t xml:space="preserve">frequency bands </w:t>
      </w:r>
      <w:r w:rsidR="001931EA" w:rsidRPr="00B50058">
        <w:rPr>
          <w:color w:val="000000"/>
        </w:rPr>
        <w:t xml:space="preserve">allocated </w:t>
      </w:r>
      <w:r w:rsidR="00C02347" w:rsidRPr="00B50058">
        <w:t xml:space="preserve">to the </w:t>
      </w:r>
      <w:r w:rsidR="00C02347" w:rsidRPr="00B50058">
        <w:rPr>
          <w:rFonts w:eastAsia="Calibri"/>
          <w:bCs/>
          <w:szCs w:val="24"/>
          <w:lang w:val="en-US"/>
        </w:rPr>
        <w:t xml:space="preserve">fixed-satellite and mobile satellite service </w:t>
      </w:r>
      <w:r w:rsidRPr="00B50058">
        <w:rPr>
          <w:color w:val="000000"/>
          <w:szCs w:val="22"/>
          <w:lang w:val="en-US"/>
        </w:rPr>
        <w:t xml:space="preserve">, taking into account applicable footnotes, </w:t>
      </w:r>
      <w:r w:rsidRPr="00B50058">
        <w:rPr>
          <w:color w:val="000000"/>
        </w:rPr>
        <w:t xml:space="preserve">for transmissions in the Earth-to-space direction from non-GSO satellites toward GSO  space stations and non-GSO space stations at higher orbital altitudes, </w:t>
      </w:r>
      <w:r w:rsidRPr="00B50058">
        <w:t>to ensure compatibility with all allocated services in these bands and avoid harmful interference;</w:t>
      </w:r>
    </w:p>
    <w:p w14:paraId="6D9A6532" w14:textId="1EB6C5E3" w:rsidR="00D84F33" w:rsidRPr="00B50058" w:rsidRDefault="00D84F33" w:rsidP="00D84F33">
      <w:r w:rsidRPr="00B50058">
        <w:rPr>
          <w:i/>
        </w:rPr>
        <w:t>b)</w:t>
      </w:r>
      <w:r w:rsidRPr="00B50058">
        <w:tab/>
        <w:t xml:space="preserve">that it is necessary to </w:t>
      </w:r>
      <w:r w:rsidR="00C02347" w:rsidRPr="00B50058">
        <w:t>study</w:t>
      </w:r>
      <w:r w:rsidRPr="00B50058">
        <w:t xml:space="preserve"> whether space-to-Earth direction transmissions from space stations in higher orbital altitudes, including </w:t>
      </w:r>
      <w:proofErr w:type="gramStart"/>
      <w:r w:rsidRPr="00B50058">
        <w:t>GSO  satellites</w:t>
      </w:r>
      <w:proofErr w:type="gramEnd"/>
      <w:r w:rsidRPr="00B50058">
        <w:t xml:space="preserve">, can be successfully received by lower </w:t>
      </w:r>
      <w:r w:rsidRPr="00B50058">
        <w:rPr>
          <w:rFonts w:eastAsia="Calibri"/>
          <w:szCs w:val="24"/>
        </w:rPr>
        <w:t xml:space="preserve">orbital </w:t>
      </w:r>
      <w:r w:rsidRPr="00B50058">
        <w:t xml:space="preserve">altitude non-GSO satellites, </w:t>
      </w:r>
      <w:r w:rsidRPr="00B50058">
        <w:rPr>
          <w:color w:val="000000"/>
          <w:szCs w:val="22"/>
          <w:lang w:val="en-US"/>
        </w:rPr>
        <w:t>without imposing any additional constraints on all allocated services</w:t>
      </w:r>
      <w:bookmarkStart w:id="12" w:name="_Hlk11962436"/>
      <w:r w:rsidRPr="00B50058">
        <w:t xml:space="preserve"> in these bands</w:t>
      </w:r>
      <w:bookmarkEnd w:id="12"/>
      <w:r w:rsidRPr="00B50058">
        <w:t>;</w:t>
      </w:r>
    </w:p>
    <w:p w14:paraId="1B79AFCC" w14:textId="3631BEAA" w:rsidR="00D84F33" w:rsidRPr="00D84F33" w:rsidRDefault="00D84F33" w:rsidP="00D84F33">
      <w:r w:rsidRPr="00B50058" w:rsidDel="00F04BAC">
        <w:rPr>
          <w:i/>
        </w:rPr>
        <w:t xml:space="preserve"> </w:t>
      </w:r>
      <w:r w:rsidR="001931EA" w:rsidRPr="00B50058">
        <w:rPr>
          <w:i/>
        </w:rPr>
        <w:t>c</w:t>
      </w:r>
      <w:r w:rsidRPr="00B50058">
        <w:rPr>
          <w:i/>
        </w:rPr>
        <w:t>)</w:t>
      </w:r>
      <w:r w:rsidRPr="00B50058">
        <w:tab/>
        <w:t xml:space="preserve">that the sharing scenario is likely to </w:t>
      </w:r>
      <w:r w:rsidR="00C81113" w:rsidRPr="00B50058">
        <w:t>vary widely</w:t>
      </w:r>
      <w:r w:rsidRPr="00B50058">
        <w:t xml:space="preserve"> </w:t>
      </w:r>
      <w:r w:rsidR="00C02347" w:rsidRPr="00B50058">
        <w:t>because</w:t>
      </w:r>
      <w:r w:rsidRPr="00B50058">
        <w:t xml:space="preserve"> </w:t>
      </w:r>
      <w:r w:rsidR="00C02347" w:rsidRPr="00B50058">
        <w:t>of the wide variety</w:t>
      </w:r>
      <w:r w:rsidRPr="00B50058">
        <w:t xml:space="preserve"> </w:t>
      </w:r>
      <w:r w:rsidR="00C02347" w:rsidRPr="00B50058">
        <w:t xml:space="preserve">of </w:t>
      </w:r>
      <w:r w:rsidRPr="00B50058">
        <w:t>orbital characteristics of the non-GSO satellites;</w:t>
      </w:r>
    </w:p>
    <w:p w14:paraId="62B0E350" w14:textId="3DCD59CF" w:rsidR="00D84F33" w:rsidRDefault="00CC653C" w:rsidP="00D84F33">
      <w:r>
        <w:rPr>
          <w:rFonts w:eastAsia="Calibri"/>
          <w:bCs/>
          <w:i/>
          <w:iCs/>
          <w:szCs w:val="24"/>
          <w:lang w:val="en-US"/>
        </w:rPr>
        <w:lastRenderedPageBreak/>
        <w:t>d</w:t>
      </w:r>
      <w:r w:rsidR="00D84F33" w:rsidRPr="00D84F33">
        <w:rPr>
          <w:rFonts w:eastAsia="Calibri"/>
          <w:bCs/>
          <w:i/>
          <w:iCs/>
          <w:szCs w:val="24"/>
          <w:lang w:val="en-US"/>
        </w:rPr>
        <w:t>)</w:t>
      </w:r>
      <w:r w:rsidR="00D84F33" w:rsidRPr="00D84F33">
        <w:rPr>
          <w:rFonts w:eastAsia="Calibri"/>
          <w:bCs/>
          <w:szCs w:val="24"/>
          <w:lang w:val="en-US"/>
        </w:rPr>
        <w:tab/>
      </w:r>
      <w:r w:rsidR="00D84F33" w:rsidRPr="00D84F33">
        <w:t>that out-of-</w:t>
      </w:r>
      <w:r w:rsidR="00D84F33" w:rsidRPr="00B50058">
        <w:t xml:space="preserve">band </w:t>
      </w:r>
      <w:r w:rsidR="00C02347" w:rsidRPr="00B50058">
        <w:t>emissions</w:t>
      </w:r>
      <w:r w:rsidR="00D84F33" w:rsidRPr="00B50058">
        <w:t>, signals due</w:t>
      </w:r>
      <w:r w:rsidR="00D84F33" w:rsidRPr="00D84F33">
        <w:t xml:space="preserve"> to antenna pattern sidelobes, reflections from receiving space stations, and in-band unintentional radiation due to doppler shifts, may impact services operating in the same and adjacent bands</w:t>
      </w:r>
      <w:r w:rsidR="00D84F33" w:rsidRPr="00D84F33">
        <w:rPr>
          <w:rFonts w:eastAsia="Calibri"/>
          <w:bCs/>
          <w:szCs w:val="24"/>
          <w:lang w:val="en-US"/>
        </w:rPr>
        <w:t>,</w:t>
      </w:r>
      <w:r w:rsidR="00D84F33" w:rsidRPr="00D84F33">
        <w:t xml:space="preserve"> </w:t>
      </w:r>
    </w:p>
    <w:p w14:paraId="51CD6425" w14:textId="395C0545" w:rsidR="0073564B" w:rsidRPr="00D84F33" w:rsidRDefault="00CC653C" w:rsidP="0073564B">
      <w:r>
        <w:rPr>
          <w:i/>
          <w:iCs/>
        </w:rPr>
        <w:t>e</w:t>
      </w:r>
      <w:r w:rsidR="0073564B" w:rsidRPr="00D84F33">
        <w:rPr>
          <w:i/>
          <w:iCs/>
        </w:rPr>
        <w:t>)</w:t>
      </w:r>
      <w:r w:rsidR="0073564B" w:rsidRPr="00D84F33">
        <w:rPr>
          <w:i/>
          <w:iCs/>
        </w:rPr>
        <w:tab/>
      </w:r>
      <w:r w:rsidR="0073564B" w:rsidRPr="00D84F33">
        <w:t xml:space="preserve">that No. </w:t>
      </w:r>
      <w:r w:rsidR="0073564B" w:rsidRPr="00D766B7">
        <w:rPr>
          <w:b/>
        </w:rPr>
        <w:t>22.2</w:t>
      </w:r>
      <w:r w:rsidR="0073564B" w:rsidRPr="00D84F33">
        <w:t xml:space="preserve"> applies to the 19.7-20.2 GHz and 29.5-30 GHz bands, in which the </w:t>
      </w:r>
      <w:r w:rsidR="0048032C" w:rsidRPr="00EB60C6">
        <w:t>mobile</w:t>
      </w:r>
      <w:r w:rsidR="0073564B" w:rsidRPr="00EB60C6">
        <w:t>-satellite service (</w:t>
      </w:r>
      <w:r w:rsidR="0048032C" w:rsidRPr="00EB60C6">
        <w:t>MSS</w:t>
      </w:r>
      <w:r w:rsidR="0073564B" w:rsidRPr="00EB60C6">
        <w:t>)</w:t>
      </w:r>
      <w:r w:rsidR="0073564B" w:rsidRPr="00D84F33">
        <w:t xml:space="preserve"> has a co-primary allocation in Region 2 and in the 20.1-20.2 GHz and 29.9-30 GHz portions of the bands in Regions 1 and 3; </w:t>
      </w:r>
    </w:p>
    <w:p w14:paraId="519B670E" w14:textId="29EEC2CE" w:rsidR="0073564B" w:rsidRPr="00D84F33" w:rsidRDefault="00CC653C" w:rsidP="00D84F33">
      <w:r>
        <w:rPr>
          <w:i/>
        </w:rPr>
        <w:t>f</w:t>
      </w:r>
      <w:r w:rsidR="0073564B" w:rsidRPr="00D84F33">
        <w:rPr>
          <w:i/>
        </w:rPr>
        <w:t>)</w:t>
      </w:r>
      <w:r w:rsidR="0073564B" w:rsidRPr="00D84F33">
        <w:tab/>
        <w:t xml:space="preserve">that the </w:t>
      </w:r>
      <w:r w:rsidR="0073564B" w:rsidRPr="00D84F33">
        <w:rPr>
          <w:rFonts w:eastAsia="Calibri"/>
          <w:bCs/>
          <w:szCs w:val="24"/>
          <w:lang w:val="en-US"/>
        </w:rPr>
        <w:t xml:space="preserve">use by a non-allocated space service of frequency bands allocated to another space service under No. </w:t>
      </w:r>
      <w:r w:rsidR="0073564B" w:rsidRPr="00D84F33">
        <w:rPr>
          <w:rFonts w:eastAsia="Calibri"/>
          <w:b/>
          <w:bCs/>
          <w:szCs w:val="24"/>
          <w:lang w:val="en-US"/>
        </w:rPr>
        <w:t>4.4</w:t>
      </w:r>
      <w:r w:rsidR="0073564B" w:rsidRPr="00D84F33">
        <w:rPr>
          <w:rFonts w:eastAsia="Calibri"/>
          <w:bCs/>
          <w:szCs w:val="24"/>
          <w:lang w:val="en-US"/>
        </w:rPr>
        <w:t xml:space="preserve"> of the Radio Regulations, without recognition and on a non-harmful interference/non-protected basis, is being made today,</w:t>
      </w:r>
      <w:r w:rsidR="0073564B" w:rsidRPr="00D84F33">
        <w:t xml:space="preserve"> </w:t>
      </w:r>
    </w:p>
    <w:p w14:paraId="7D9F6B47" w14:textId="77777777" w:rsidR="00D84F33" w:rsidRPr="00D84F33" w:rsidRDefault="00D84F33" w:rsidP="00D84F33">
      <w:pPr>
        <w:rPr>
          <w:rFonts w:eastAsia="Calibri"/>
          <w:i/>
          <w:szCs w:val="24"/>
          <w:lang w:val="en-US"/>
        </w:rPr>
      </w:pPr>
      <w:r w:rsidRPr="00D84F33">
        <w:rPr>
          <w:rFonts w:eastAsia="Calibri"/>
          <w:i/>
          <w:szCs w:val="24"/>
          <w:lang w:val="en-US"/>
        </w:rPr>
        <w:tab/>
        <w:t>recognizing further</w:t>
      </w:r>
    </w:p>
    <w:p w14:paraId="042D3E1B" w14:textId="55D46E61" w:rsidR="0073564B" w:rsidRPr="00B50058" w:rsidRDefault="0073564B" w:rsidP="0073564B">
      <w:pPr>
        <w:rPr>
          <w:rFonts w:eastAsia="Calibri"/>
          <w:szCs w:val="24"/>
          <w:lang w:val="en-US"/>
        </w:rPr>
      </w:pPr>
      <w:r w:rsidRPr="00D84F33">
        <w:rPr>
          <w:rFonts w:eastAsia="Calibri"/>
          <w:i/>
          <w:szCs w:val="24"/>
          <w:lang w:val="en-US"/>
        </w:rPr>
        <w:t>a)</w:t>
      </w:r>
      <w:r w:rsidRPr="00D84F33">
        <w:rPr>
          <w:rFonts w:eastAsia="Calibri"/>
          <w:szCs w:val="24"/>
          <w:lang w:val="en-US"/>
        </w:rPr>
        <w:t xml:space="preserve"> </w:t>
      </w:r>
      <w:r w:rsidRPr="00D84F33">
        <w:rPr>
          <w:rFonts w:eastAsia="Calibri"/>
          <w:szCs w:val="24"/>
          <w:lang w:val="en-US"/>
        </w:rPr>
        <w:tab/>
        <w:t xml:space="preserve">that use of bands by the mobile-satellite service in the frequency range 1-3 GHz are subject to existing Resolutions, coordination requirements and country footnotes taking into account, </w:t>
      </w:r>
      <w:r w:rsidRPr="00B50058">
        <w:rPr>
          <w:rFonts w:eastAsia="Calibri"/>
          <w:szCs w:val="24"/>
          <w:lang w:val="en-US"/>
        </w:rPr>
        <w:t>in particular, the protection of safety and aeronautical mobile-satellite (R) services, and of the Global Maritime Distress and Safety System;</w:t>
      </w:r>
    </w:p>
    <w:p w14:paraId="2B29F874" w14:textId="77777777" w:rsidR="0073564B" w:rsidRPr="00B50058" w:rsidRDefault="0073564B"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eastAsia="Calibri"/>
          <w:i/>
          <w:szCs w:val="24"/>
          <w:lang w:val="en-US"/>
        </w:rPr>
      </w:pPr>
    </w:p>
    <w:p w14:paraId="67E37090" w14:textId="4FE043FF" w:rsidR="00D84F33" w:rsidRPr="00B50058" w:rsidRDefault="00D9331A" w:rsidP="00B50058">
      <w:pPr>
        <w:tabs>
          <w:tab w:val="clear" w:pos="1134"/>
          <w:tab w:val="clear" w:pos="1871"/>
          <w:tab w:val="clear" w:pos="2268"/>
          <w:tab w:val="left" w:pos="576"/>
          <w:tab w:val="left" w:pos="792"/>
          <w:tab w:val="left" w:pos="1170"/>
          <w:tab w:val="left" w:pos="1224"/>
          <w:tab w:val="left" w:pos="1440"/>
        </w:tabs>
        <w:overflowPunct/>
        <w:autoSpaceDE/>
        <w:autoSpaceDN/>
        <w:adjustRightInd/>
        <w:spacing w:before="0"/>
        <w:textAlignment w:val="auto"/>
        <w:rPr>
          <w:rFonts w:eastAsia="Calibri"/>
          <w:szCs w:val="24"/>
          <w:lang w:val="en-US"/>
        </w:rPr>
      </w:pPr>
      <w:r w:rsidRPr="00B50058">
        <w:rPr>
          <w:rFonts w:eastAsia="Calibri"/>
          <w:i/>
          <w:szCs w:val="24"/>
          <w:lang w:val="en-US"/>
        </w:rPr>
        <w:t>b</w:t>
      </w:r>
      <w:r w:rsidR="00D84F33" w:rsidRPr="00B50058">
        <w:rPr>
          <w:rFonts w:eastAsia="Calibri"/>
          <w:i/>
          <w:szCs w:val="24"/>
          <w:lang w:val="en-US"/>
        </w:rPr>
        <w:t xml:space="preserve">) </w:t>
      </w:r>
      <w:r w:rsidR="00D84F33" w:rsidRPr="00B50058">
        <w:rPr>
          <w:rFonts w:eastAsia="Calibri"/>
          <w:i/>
          <w:szCs w:val="24"/>
          <w:lang w:val="en-US"/>
        </w:rPr>
        <w:tab/>
      </w:r>
      <w:r w:rsidR="00D84F33" w:rsidRPr="00B50058">
        <w:rPr>
          <w:rFonts w:eastAsia="Calibri"/>
          <w:i/>
          <w:szCs w:val="24"/>
          <w:lang w:val="en-US"/>
        </w:rPr>
        <w:tab/>
      </w:r>
      <w:r w:rsidR="00D84F33" w:rsidRPr="00B50058">
        <w:rPr>
          <w:rFonts w:eastAsia="Calibri"/>
          <w:i/>
          <w:szCs w:val="24"/>
          <w:lang w:val="en-US"/>
        </w:rPr>
        <w:tab/>
      </w:r>
      <w:r w:rsidR="00D84F33" w:rsidRPr="00B50058">
        <w:rPr>
          <w:rFonts w:eastAsia="Calibri"/>
          <w:szCs w:val="24"/>
          <w:lang w:val="en-US"/>
        </w:rPr>
        <w:t xml:space="preserve">that the use of the frequency bands 27.5-28.6 GHz and 29.5-30 GHz by the non-GSO FSS is subject to the application of the provisions of Nos. </w:t>
      </w:r>
      <w:r w:rsidR="00D84F33" w:rsidRPr="00B50058">
        <w:rPr>
          <w:rFonts w:eastAsia="Calibri"/>
          <w:b/>
          <w:szCs w:val="24"/>
          <w:lang w:val="en-US"/>
        </w:rPr>
        <w:t>5.484A</w:t>
      </w:r>
      <w:r w:rsidR="00D84F33" w:rsidRPr="00B50058">
        <w:rPr>
          <w:rFonts w:eastAsia="Calibri"/>
          <w:szCs w:val="24"/>
          <w:lang w:val="en-US"/>
        </w:rPr>
        <w:t xml:space="preserve">, </w:t>
      </w:r>
      <w:r w:rsidR="00D84F33" w:rsidRPr="00B50058">
        <w:rPr>
          <w:rFonts w:eastAsia="Calibri"/>
          <w:b/>
          <w:szCs w:val="24"/>
          <w:lang w:val="en-US"/>
        </w:rPr>
        <w:t>22.5C</w:t>
      </w:r>
      <w:r w:rsidR="00D84F33" w:rsidRPr="00B50058">
        <w:rPr>
          <w:rFonts w:eastAsia="Calibri"/>
          <w:szCs w:val="24"/>
          <w:lang w:val="en-US"/>
        </w:rPr>
        <w:t xml:space="preserve"> and </w:t>
      </w:r>
      <w:r w:rsidR="00D84F33" w:rsidRPr="00B50058">
        <w:rPr>
          <w:rFonts w:eastAsia="Calibri"/>
          <w:b/>
          <w:szCs w:val="24"/>
          <w:lang w:val="en-US"/>
        </w:rPr>
        <w:t>22.5I</w:t>
      </w:r>
      <w:r w:rsidR="00D84F33" w:rsidRPr="00B50058">
        <w:rPr>
          <w:rFonts w:eastAsia="Calibri"/>
          <w:szCs w:val="24"/>
          <w:lang w:val="en-US"/>
        </w:rPr>
        <w:t>;</w:t>
      </w:r>
    </w:p>
    <w:p w14:paraId="66E4354F" w14:textId="699D75EF" w:rsidR="00D84F33" w:rsidRPr="00B50058" w:rsidRDefault="00D9331A" w:rsidP="00D84F33">
      <w:pPr>
        <w:rPr>
          <w:rFonts w:eastAsia="Calibri"/>
          <w:szCs w:val="24"/>
          <w:lang w:val="en-US"/>
        </w:rPr>
      </w:pPr>
      <w:r w:rsidRPr="00B50058">
        <w:rPr>
          <w:rFonts w:eastAsia="Calibri"/>
          <w:i/>
          <w:szCs w:val="24"/>
          <w:lang w:val="en-US"/>
        </w:rPr>
        <w:t>c</w:t>
      </w:r>
      <w:r w:rsidR="00D84F33" w:rsidRPr="00B50058">
        <w:rPr>
          <w:rFonts w:eastAsia="Calibri"/>
          <w:i/>
          <w:szCs w:val="24"/>
          <w:lang w:val="en-US"/>
        </w:rPr>
        <w:t>)</w:t>
      </w:r>
      <w:r w:rsidR="00D84F33" w:rsidRPr="00B50058">
        <w:rPr>
          <w:rFonts w:eastAsia="Calibri"/>
          <w:i/>
          <w:szCs w:val="24"/>
          <w:lang w:val="en-US"/>
        </w:rPr>
        <w:tab/>
      </w:r>
      <w:r w:rsidR="00D84F33" w:rsidRPr="00B50058">
        <w:rPr>
          <w:rFonts w:eastAsia="Calibri"/>
          <w:szCs w:val="24"/>
          <w:lang w:val="en-US"/>
        </w:rPr>
        <w:t xml:space="preserve">that use of the frequency band 28.6-29.1 GHz by geostationary and non-geostationary fixed-satellite service networks is subject to the application of the provisions of No. </w:t>
      </w:r>
      <w:r w:rsidR="00D84F33" w:rsidRPr="00B50058">
        <w:rPr>
          <w:rFonts w:eastAsia="Calibri"/>
          <w:b/>
          <w:szCs w:val="24"/>
          <w:lang w:val="en-US"/>
        </w:rPr>
        <w:t>9.11A</w:t>
      </w:r>
      <w:r w:rsidR="00D84F33" w:rsidRPr="00B50058">
        <w:rPr>
          <w:rFonts w:eastAsia="Calibri"/>
          <w:szCs w:val="24"/>
          <w:lang w:val="en-US"/>
        </w:rPr>
        <w:t xml:space="preserve">, and No. </w:t>
      </w:r>
      <w:r w:rsidR="00D84F33" w:rsidRPr="00B50058">
        <w:rPr>
          <w:rFonts w:eastAsia="Calibri"/>
          <w:b/>
          <w:szCs w:val="24"/>
          <w:lang w:val="en-US"/>
        </w:rPr>
        <w:t>22.2</w:t>
      </w:r>
      <w:r w:rsidR="00D84F33" w:rsidRPr="00B50058">
        <w:rPr>
          <w:rFonts w:eastAsia="Calibri"/>
          <w:szCs w:val="24"/>
          <w:lang w:val="en-US"/>
        </w:rPr>
        <w:t xml:space="preserve"> does not apply (see No. </w:t>
      </w:r>
      <w:r w:rsidR="00D84F33" w:rsidRPr="00B50058">
        <w:rPr>
          <w:rFonts w:eastAsia="Calibri"/>
          <w:b/>
          <w:szCs w:val="24"/>
          <w:lang w:val="en-US"/>
        </w:rPr>
        <w:t>5.523A</w:t>
      </w:r>
      <w:r w:rsidR="00D84F33" w:rsidRPr="00B50058">
        <w:rPr>
          <w:rFonts w:eastAsia="Calibri"/>
          <w:szCs w:val="24"/>
          <w:lang w:val="en-US"/>
        </w:rPr>
        <w:t>);</w:t>
      </w:r>
    </w:p>
    <w:p w14:paraId="5BDE0B76" w14:textId="58C24C08" w:rsidR="00D84F33" w:rsidRPr="00B50058" w:rsidRDefault="00D9331A" w:rsidP="00D84F33">
      <w:pPr>
        <w:rPr>
          <w:rFonts w:eastAsia="Calibri"/>
          <w:szCs w:val="24"/>
          <w:lang w:val="en-US"/>
        </w:rPr>
      </w:pPr>
      <w:r w:rsidRPr="00B50058">
        <w:rPr>
          <w:rFonts w:eastAsia="Calibri"/>
          <w:i/>
          <w:szCs w:val="24"/>
          <w:lang w:val="en-US"/>
        </w:rPr>
        <w:t>d</w:t>
      </w:r>
      <w:r w:rsidR="00D84F33" w:rsidRPr="00B50058">
        <w:rPr>
          <w:rFonts w:eastAsia="Calibri"/>
          <w:i/>
          <w:szCs w:val="24"/>
          <w:lang w:val="en-US"/>
        </w:rPr>
        <w:t>)</w:t>
      </w:r>
      <w:r w:rsidR="00D84F33" w:rsidRPr="00B50058">
        <w:rPr>
          <w:rFonts w:eastAsia="Calibri"/>
          <w:i/>
          <w:szCs w:val="24"/>
          <w:lang w:val="en-US"/>
        </w:rPr>
        <w:tab/>
      </w:r>
      <w:r w:rsidR="00D84F33" w:rsidRPr="00B50058">
        <w:rPr>
          <w:rFonts w:eastAsia="Calibri"/>
          <w:szCs w:val="24"/>
          <w:lang w:val="en-US"/>
        </w:rPr>
        <w:t>that use of the frequency band 29.1-29.5 GHz (Earth-to-space) by the fixed-satellite</w:t>
      </w:r>
    </w:p>
    <w:p w14:paraId="706AA00E" w14:textId="77777777" w:rsidR="00D84F33" w:rsidRPr="00B50058" w:rsidRDefault="00D84F33" w:rsidP="00D84F33">
      <w:pPr>
        <w:tabs>
          <w:tab w:val="clear" w:pos="1134"/>
          <w:tab w:val="clear" w:pos="1871"/>
          <w:tab w:val="clear" w:pos="2268"/>
        </w:tabs>
        <w:overflowPunct/>
        <w:spacing w:before="0"/>
        <w:textAlignment w:val="auto"/>
        <w:rPr>
          <w:rFonts w:eastAsia="Calibri"/>
          <w:szCs w:val="24"/>
          <w:lang w:val="en-US"/>
        </w:rPr>
      </w:pPr>
      <w:r w:rsidRPr="00B50058">
        <w:rPr>
          <w:rFonts w:eastAsia="Calibri"/>
          <w:szCs w:val="24"/>
          <w:lang w:val="en-US"/>
        </w:rPr>
        <w:t>service is limited to geostationary-satellite systems and feeder links to non-geostationary satellite</w:t>
      </w:r>
    </w:p>
    <w:p w14:paraId="458B3265" w14:textId="77777777" w:rsidR="00D84F33" w:rsidRPr="00B50058" w:rsidRDefault="00D84F33" w:rsidP="00D84F33">
      <w:pPr>
        <w:tabs>
          <w:tab w:val="clear" w:pos="1134"/>
          <w:tab w:val="clear" w:pos="1871"/>
          <w:tab w:val="clear" w:pos="2268"/>
        </w:tabs>
        <w:overflowPunct/>
        <w:spacing w:before="0"/>
        <w:textAlignment w:val="auto"/>
        <w:rPr>
          <w:rFonts w:eastAsia="Calibri"/>
          <w:szCs w:val="24"/>
          <w:lang w:val="en-US"/>
        </w:rPr>
      </w:pPr>
      <w:r w:rsidRPr="00B50058">
        <w:rPr>
          <w:rFonts w:eastAsia="Calibri"/>
          <w:szCs w:val="24"/>
          <w:lang w:val="en-US"/>
        </w:rPr>
        <w:t xml:space="preserve">systems in the mobile-satellite service, and that such use is subject to the application of the provisions of No. </w:t>
      </w:r>
      <w:r w:rsidRPr="00B50058">
        <w:rPr>
          <w:rFonts w:eastAsia="Calibri"/>
          <w:b/>
          <w:szCs w:val="24"/>
          <w:lang w:val="en-US"/>
        </w:rPr>
        <w:t>9.11A</w:t>
      </w:r>
      <w:r w:rsidRPr="00B50058">
        <w:rPr>
          <w:rFonts w:eastAsia="Calibri"/>
          <w:szCs w:val="24"/>
          <w:lang w:val="en-US"/>
        </w:rPr>
        <w:t xml:space="preserve">, but not subject to the provisions of No. </w:t>
      </w:r>
      <w:r w:rsidRPr="00B50058">
        <w:rPr>
          <w:rFonts w:eastAsia="Calibri"/>
          <w:b/>
          <w:szCs w:val="24"/>
          <w:lang w:val="en-US"/>
        </w:rPr>
        <w:t>22.2</w:t>
      </w:r>
      <w:r w:rsidRPr="00B50058">
        <w:rPr>
          <w:rFonts w:eastAsia="Calibri"/>
          <w:szCs w:val="24"/>
          <w:lang w:val="en-US"/>
        </w:rPr>
        <w:t xml:space="preserve">, except as indicated in Nos. </w:t>
      </w:r>
      <w:r w:rsidRPr="00B50058">
        <w:rPr>
          <w:rFonts w:eastAsia="Calibri"/>
          <w:b/>
          <w:szCs w:val="24"/>
          <w:lang w:val="en-US"/>
        </w:rPr>
        <w:t>5.523C</w:t>
      </w:r>
      <w:r w:rsidRPr="00B50058">
        <w:rPr>
          <w:rFonts w:eastAsia="Calibri"/>
          <w:szCs w:val="24"/>
          <w:lang w:val="en-US"/>
        </w:rPr>
        <w:t xml:space="preserve"> and </w:t>
      </w:r>
      <w:r w:rsidRPr="00B50058">
        <w:rPr>
          <w:rFonts w:eastAsia="Calibri"/>
          <w:b/>
          <w:szCs w:val="24"/>
          <w:lang w:val="en-US"/>
        </w:rPr>
        <w:t>5.523E</w:t>
      </w:r>
      <w:r w:rsidRPr="00B50058">
        <w:rPr>
          <w:rFonts w:eastAsia="Calibri"/>
          <w:szCs w:val="24"/>
          <w:lang w:val="en-US"/>
        </w:rPr>
        <w:t xml:space="preserve">, where such use is not subject to the provisions of No. </w:t>
      </w:r>
      <w:r w:rsidRPr="00B50058">
        <w:rPr>
          <w:rFonts w:eastAsia="Calibri"/>
          <w:b/>
          <w:szCs w:val="24"/>
          <w:lang w:val="en-US"/>
        </w:rPr>
        <w:t>9.11A</w:t>
      </w:r>
      <w:r w:rsidRPr="00B50058">
        <w:rPr>
          <w:rFonts w:eastAsia="Calibri"/>
          <w:szCs w:val="24"/>
          <w:lang w:val="en-US"/>
        </w:rPr>
        <w:t xml:space="preserve"> and shall continue to be subject to Articles </w:t>
      </w:r>
      <w:r w:rsidRPr="00B50058">
        <w:rPr>
          <w:rFonts w:eastAsia="Calibri"/>
          <w:b/>
          <w:szCs w:val="24"/>
          <w:lang w:val="en-US"/>
        </w:rPr>
        <w:t>9</w:t>
      </w:r>
      <w:r w:rsidRPr="00B50058">
        <w:rPr>
          <w:rFonts w:eastAsia="Calibri"/>
          <w:szCs w:val="24"/>
          <w:lang w:val="en-US"/>
        </w:rPr>
        <w:t xml:space="preserve"> (except No. </w:t>
      </w:r>
      <w:r w:rsidRPr="00B50058">
        <w:rPr>
          <w:rFonts w:eastAsia="Calibri"/>
          <w:b/>
          <w:szCs w:val="24"/>
          <w:lang w:val="en-US"/>
        </w:rPr>
        <w:t>9.11A</w:t>
      </w:r>
      <w:r w:rsidRPr="00B50058">
        <w:rPr>
          <w:rFonts w:eastAsia="Calibri"/>
          <w:szCs w:val="24"/>
          <w:lang w:val="en-US"/>
        </w:rPr>
        <w:t xml:space="preserve">) and </w:t>
      </w:r>
      <w:r w:rsidRPr="00B50058">
        <w:rPr>
          <w:rFonts w:eastAsia="Calibri"/>
          <w:b/>
          <w:szCs w:val="24"/>
          <w:lang w:val="en-US"/>
        </w:rPr>
        <w:t>11</w:t>
      </w:r>
      <w:r w:rsidRPr="00B50058">
        <w:rPr>
          <w:rFonts w:eastAsia="Calibri"/>
          <w:szCs w:val="24"/>
          <w:lang w:val="en-US"/>
        </w:rPr>
        <w:t xml:space="preserve"> procedures, and to the provisions of No. </w:t>
      </w:r>
      <w:r w:rsidRPr="00B50058">
        <w:rPr>
          <w:rFonts w:eastAsia="Calibri"/>
          <w:b/>
          <w:szCs w:val="24"/>
          <w:lang w:val="en-US"/>
        </w:rPr>
        <w:t>22.2</w:t>
      </w:r>
      <w:r w:rsidRPr="00B50058">
        <w:rPr>
          <w:rFonts w:eastAsia="Calibri"/>
          <w:szCs w:val="24"/>
          <w:lang w:val="en-US"/>
        </w:rPr>
        <w:t xml:space="preserve"> (see No. </w:t>
      </w:r>
      <w:r w:rsidRPr="00B50058">
        <w:rPr>
          <w:rFonts w:eastAsia="Calibri"/>
          <w:b/>
          <w:szCs w:val="24"/>
          <w:lang w:val="en-US"/>
        </w:rPr>
        <w:t>5.535A</w:t>
      </w:r>
      <w:r w:rsidRPr="00B50058">
        <w:rPr>
          <w:rFonts w:eastAsia="Calibri"/>
          <w:szCs w:val="24"/>
          <w:lang w:val="en-US"/>
        </w:rPr>
        <w:t>);</w:t>
      </w:r>
    </w:p>
    <w:p w14:paraId="08192988" w14:textId="30EBB290" w:rsidR="00D84F33" w:rsidRPr="00B50058" w:rsidRDefault="00D9331A" w:rsidP="00D84F33">
      <w:pPr>
        <w:rPr>
          <w:rFonts w:eastAsia="Calibri"/>
          <w:szCs w:val="24"/>
          <w:lang w:val="en-US"/>
        </w:rPr>
      </w:pPr>
      <w:r w:rsidRPr="00B50058">
        <w:rPr>
          <w:rFonts w:eastAsia="Calibri"/>
          <w:i/>
          <w:szCs w:val="24"/>
          <w:lang w:val="en-US"/>
        </w:rPr>
        <w:t>e</w:t>
      </w:r>
      <w:r w:rsidR="00D84F33" w:rsidRPr="00B50058">
        <w:rPr>
          <w:rFonts w:eastAsia="Calibri"/>
          <w:i/>
          <w:szCs w:val="24"/>
          <w:lang w:val="en-US"/>
        </w:rPr>
        <w:t>)</w:t>
      </w:r>
      <w:r w:rsidR="00D84F33" w:rsidRPr="00B50058">
        <w:rPr>
          <w:rFonts w:eastAsia="Calibri"/>
          <w:i/>
          <w:szCs w:val="24"/>
          <w:lang w:val="en-US"/>
        </w:rPr>
        <w:tab/>
      </w:r>
      <w:r w:rsidR="00D84F33" w:rsidRPr="00B50058">
        <w:rPr>
          <w:rFonts w:eastAsia="Calibri"/>
          <w:szCs w:val="24"/>
          <w:lang w:val="en-US"/>
        </w:rPr>
        <w:t xml:space="preserve">that the frequency band 27.5-30 GHz may be used by the fixed-satellite service (Earth-to-space) for the provision of feeder links for the broadcasting-satellite service (see No. </w:t>
      </w:r>
      <w:r w:rsidR="00D84F33" w:rsidRPr="00B50058">
        <w:rPr>
          <w:rFonts w:eastAsia="Calibri"/>
          <w:b/>
          <w:szCs w:val="24"/>
          <w:lang w:val="en-US"/>
        </w:rPr>
        <w:t>5.539</w:t>
      </w:r>
      <w:r w:rsidR="00D84F33" w:rsidRPr="00B50058">
        <w:rPr>
          <w:rFonts w:eastAsia="Calibri"/>
          <w:szCs w:val="24"/>
          <w:lang w:val="en-US"/>
        </w:rPr>
        <w:t>);</w:t>
      </w:r>
    </w:p>
    <w:p w14:paraId="485AFBE8" w14:textId="5D2E081E" w:rsidR="00D84F33" w:rsidRPr="00B50058" w:rsidRDefault="00D9331A" w:rsidP="00D84F33">
      <w:pPr>
        <w:rPr>
          <w:rFonts w:eastAsia="Calibri"/>
          <w:szCs w:val="24"/>
          <w:lang w:val="en-US"/>
        </w:rPr>
      </w:pPr>
      <w:r w:rsidRPr="00B50058">
        <w:rPr>
          <w:rFonts w:eastAsia="Calibri"/>
          <w:i/>
          <w:szCs w:val="24"/>
          <w:lang w:val="en-US"/>
        </w:rPr>
        <w:t>f</w:t>
      </w:r>
      <w:r w:rsidR="00D84F33" w:rsidRPr="00B50058">
        <w:rPr>
          <w:rFonts w:eastAsia="Calibri"/>
          <w:i/>
          <w:szCs w:val="24"/>
          <w:lang w:val="en-US"/>
        </w:rPr>
        <w:t>)</w:t>
      </w:r>
      <w:r w:rsidR="00D84F33" w:rsidRPr="00B50058">
        <w:rPr>
          <w:rFonts w:eastAsia="Calibri"/>
          <w:i/>
          <w:szCs w:val="24"/>
          <w:lang w:val="en-US"/>
        </w:rPr>
        <w:tab/>
      </w:r>
      <w:r w:rsidR="00D84F33" w:rsidRPr="00B50058">
        <w:rPr>
          <w:rFonts w:eastAsia="Calibri"/>
          <w:szCs w:val="24"/>
          <w:lang w:val="en-US"/>
        </w:rPr>
        <w:t>that feeder links of non-geostationary networks in the mobile-satellite service and</w:t>
      </w:r>
    </w:p>
    <w:p w14:paraId="657EC148" w14:textId="77777777" w:rsidR="00D84F33" w:rsidRPr="00B50058" w:rsidRDefault="00D84F33" w:rsidP="00D84F33">
      <w:pPr>
        <w:tabs>
          <w:tab w:val="clear" w:pos="1134"/>
          <w:tab w:val="clear" w:pos="1871"/>
          <w:tab w:val="clear" w:pos="2268"/>
        </w:tabs>
        <w:overflowPunct/>
        <w:spacing w:before="0"/>
        <w:textAlignment w:val="auto"/>
        <w:rPr>
          <w:rFonts w:eastAsia="Calibri"/>
          <w:szCs w:val="24"/>
          <w:lang w:val="en-US"/>
        </w:rPr>
      </w:pPr>
      <w:r w:rsidRPr="00B50058">
        <w:rPr>
          <w:rFonts w:eastAsia="Calibri"/>
          <w:szCs w:val="24"/>
          <w:lang w:val="en-US"/>
        </w:rPr>
        <w:t xml:space="preserve">geostationary networks in the fixed-satellite service operating in the frequency band 29.1-29.5 GHz (Earth-to-space) shall employ uplink adaptive power control or other methods of fade compensation, such that the earth station transmissions shall be conducted at the power level required to meet the desired link performance while reducing the level of mutual interference between both networks (see No. </w:t>
      </w:r>
      <w:r w:rsidRPr="00B50058">
        <w:rPr>
          <w:rFonts w:eastAsia="Calibri"/>
          <w:b/>
          <w:szCs w:val="24"/>
          <w:lang w:val="en-US"/>
        </w:rPr>
        <w:t>5.541A</w:t>
      </w:r>
      <w:r w:rsidRPr="00B50058">
        <w:rPr>
          <w:rFonts w:eastAsia="Calibri"/>
          <w:szCs w:val="24"/>
          <w:lang w:val="en-US"/>
        </w:rPr>
        <w:t>);</w:t>
      </w:r>
    </w:p>
    <w:p w14:paraId="4AC9C45E" w14:textId="49FA3D84" w:rsidR="00D84F33" w:rsidRPr="00B50058" w:rsidRDefault="00D9331A" w:rsidP="00D84F33">
      <w:pPr>
        <w:rPr>
          <w:rFonts w:eastAsia="Calibri"/>
          <w:szCs w:val="24"/>
          <w:lang w:val="en-US"/>
        </w:rPr>
      </w:pPr>
      <w:r w:rsidRPr="00B50058">
        <w:rPr>
          <w:rFonts w:eastAsia="Calibri"/>
          <w:i/>
          <w:szCs w:val="24"/>
          <w:lang w:val="en-US"/>
        </w:rPr>
        <w:t>g</w:t>
      </w:r>
      <w:r w:rsidR="00D84F33" w:rsidRPr="00B50058">
        <w:rPr>
          <w:rFonts w:eastAsia="Calibri"/>
          <w:i/>
          <w:szCs w:val="24"/>
          <w:lang w:val="en-US"/>
        </w:rPr>
        <w:t>)</w:t>
      </w:r>
      <w:r w:rsidR="00D84F33" w:rsidRPr="00B50058">
        <w:rPr>
          <w:rFonts w:eastAsia="Calibri"/>
          <w:szCs w:val="24"/>
          <w:lang w:val="en-US"/>
        </w:rPr>
        <w:t xml:space="preserve"> </w:t>
      </w:r>
      <w:r w:rsidR="00D84F33" w:rsidRPr="00B50058">
        <w:rPr>
          <w:rFonts w:eastAsia="Calibri"/>
          <w:szCs w:val="24"/>
          <w:lang w:val="en-US"/>
        </w:rPr>
        <w:tab/>
        <w:t xml:space="preserve">that the fixed and mobile services are allocated on a primary basis in the frequency bands 27.5-30 GHz, </w:t>
      </w:r>
      <w:r w:rsidR="00D84F33" w:rsidRPr="00B50058">
        <w:rPr>
          <w:color w:val="000000"/>
          <w:szCs w:val="22"/>
          <w:lang w:val="en-US"/>
        </w:rPr>
        <w:t xml:space="preserve">47.2 – 50.2 GHz, and 50.4 – 51.4 GHz </w:t>
      </w:r>
      <w:r w:rsidR="00D84F33" w:rsidRPr="00B50058">
        <w:rPr>
          <w:rFonts w:eastAsia="Calibri"/>
          <w:szCs w:val="24"/>
          <w:lang w:val="en-US"/>
        </w:rPr>
        <w:t>on a global basis;</w:t>
      </w:r>
    </w:p>
    <w:p w14:paraId="5D5AF52B" w14:textId="2016C9E5" w:rsidR="00D84F33" w:rsidRPr="00B50058" w:rsidRDefault="00D9331A" w:rsidP="00D84F33">
      <w:pPr>
        <w:tabs>
          <w:tab w:val="clear" w:pos="1134"/>
          <w:tab w:val="clear" w:pos="1871"/>
          <w:tab w:val="clear" w:pos="2268"/>
        </w:tabs>
        <w:overflowPunct/>
        <w:autoSpaceDE/>
        <w:autoSpaceDN/>
        <w:adjustRightInd/>
        <w:spacing w:before="0"/>
        <w:textAlignment w:val="auto"/>
        <w:rPr>
          <w:szCs w:val="24"/>
          <w:lang w:val="en-US"/>
        </w:rPr>
      </w:pPr>
      <w:r w:rsidRPr="00B50058">
        <w:rPr>
          <w:rFonts w:eastAsia="Calibri"/>
          <w:i/>
          <w:iCs/>
          <w:szCs w:val="24"/>
          <w:lang w:val="en-US"/>
        </w:rPr>
        <w:t>h</w:t>
      </w:r>
      <w:r w:rsidR="00D84F33" w:rsidRPr="00B50058">
        <w:rPr>
          <w:rFonts w:eastAsia="Calibri"/>
          <w:i/>
          <w:iCs/>
          <w:szCs w:val="24"/>
          <w:lang w:val="en-US"/>
        </w:rPr>
        <w:t>)</w:t>
      </w:r>
      <w:r w:rsidR="00D84F33" w:rsidRPr="00B50058">
        <w:rPr>
          <w:rFonts w:eastAsia="Calibri"/>
          <w:szCs w:val="24"/>
          <w:lang w:val="en-US"/>
        </w:rPr>
        <w:t xml:space="preserve">     </w:t>
      </w:r>
      <w:r w:rsidR="00D84F33" w:rsidRPr="00B50058">
        <w:rPr>
          <w:rFonts w:eastAsia="Calibri"/>
          <w:szCs w:val="24"/>
          <w:lang w:val="en-US"/>
        </w:rPr>
        <w:tab/>
        <w:t xml:space="preserve">       </w:t>
      </w:r>
      <w:r w:rsidR="00D84F33" w:rsidRPr="00B50058">
        <w:rPr>
          <w:color w:val="222222"/>
          <w:szCs w:val="24"/>
          <w:shd w:val="clear" w:color="auto" w:fill="FFFFFF"/>
          <w:lang w:val="en-US"/>
        </w:rPr>
        <w:t xml:space="preserve">that the frequency band 48.94-49.04 GHz is allocated to the radio astronomy service on a primary basis and that RR </w:t>
      </w:r>
      <w:r w:rsidR="00D84F33" w:rsidRPr="00B50058">
        <w:rPr>
          <w:b/>
          <w:color w:val="222222"/>
          <w:szCs w:val="24"/>
          <w:shd w:val="clear" w:color="auto" w:fill="FFFFFF"/>
          <w:lang w:val="en-US"/>
        </w:rPr>
        <w:t>5.340</w:t>
      </w:r>
      <w:r w:rsidR="00D84F33" w:rsidRPr="00B50058">
        <w:rPr>
          <w:color w:val="222222"/>
          <w:szCs w:val="24"/>
          <w:shd w:val="clear" w:color="auto" w:fill="FFFFFF"/>
          <w:lang w:val="en-US"/>
        </w:rPr>
        <w:t xml:space="preserve"> specifies that all emissions are prohibited in this band from airborne stations;</w:t>
      </w:r>
    </w:p>
    <w:p w14:paraId="6A2AA7DE" w14:textId="3D964D18" w:rsidR="00D84F33" w:rsidRPr="00D84F33" w:rsidRDefault="00D84F33" w:rsidP="00D84F33">
      <w:pPr>
        <w:rPr>
          <w:rFonts w:eastAsia="Calibri"/>
          <w:i/>
          <w:szCs w:val="24"/>
          <w:lang w:val="en-US"/>
        </w:rPr>
      </w:pPr>
      <w:r w:rsidRPr="00B50058">
        <w:rPr>
          <w:rFonts w:eastAsia="Calibri"/>
          <w:i/>
          <w:szCs w:val="24"/>
          <w:lang w:val="en-US"/>
        </w:rPr>
        <w:t>i</w:t>
      </w:r>
      <w:r w:rsidRPr="00B50058">
        <w:rPr>
          <w:rFonts w:eastAsia="Calibri"/>
          <w:szCs w:val="24"/>
          <w:lang w:val="en-US"/>
        </w:rPr>
        <w:t>)</w:t>
      </w:r>
      <w:r w:rsidRPr="00B50058">
        <w:rPr>
          <w:rFonts w:eastAsia="Calibri"/>
          <w:szCs w:val="24"/>
          <w:lang w:val="en-US"/>
        </w:rPr>
        <w:tab/>
        <w:t xml:space="preserve">that the frequency band 50.2-50.4 GHz is allocated to the Earth exploration-satellite service (passive) and space research service (passive) on a primary basis with relevant provision RR No. </w:t>
      </w:r>
      <w:r w:rsidRPr="00B50058">
        <w:rPr>
          <w:rFonts w:eastAsia="Calibri"/>
          <w:b/>
          <w:szCs w:val="24"/>
          <w:lang w:val="en-US"/>
        </w:rPr>
        <w:t>5.340</w:t>
      </w:r>
      <w:r w:rsidR="00532847" w:rsidRPr="00B50058">
        <w:rPr>
          <w:rFonts w:eastAsia="Calibri"/>
          <w:b/>
          <w:szCs w:val="24"/>
          <w:lang w:val="en-US"/>
        </w:rPr>
        <w:t>, 5.340.1</w:t>
      </w:r>
      <w:r w:rsidRPr="00B50058">
        <w:rPr>
          <w:rFonts w:eastAsia="Calibri"/>
          <w:szCs w:val="24"/>
          <w:lang w:val="en-US"/>
        </w:rPr>
        <w:t>, and the c</w:t>
      </w:r>
      <w:r w:rsidRPr="00D84F33">
        <w:rPr>
          <w:rFonts w:eastAsia="Calibri"/>
          <w:szCs w:val="24"/>
          <w:lang w:val="en-US"/>
        </w:rPr>
        <w:t xml:space="preserve">onditions to protect the EESS (passive) from existing and planned fixed-satellite service operations are described in Resolution </w:t>
      </w:r>
      <w:r w:rsidRPr="00D84F33">
        <w:rPr>
          <w:rFonts w:eastAsia="Calibri"/>
          <w:b/>
          <w:szCs w:val="24"/>
          <w:lang w:val="en-US"/>
        </w:rPr>
        <w:t>750</w:t>
      </w:r>
      <w:r w:rsidRPr="00D84F33">
        <w:rPr>
          <w:rFonts w:eastAsia="Calibri"/>
          <w:szCs w:val="24"/>
          <w:lang w:val="en-US"/>
        </w:rPr>
        <w:t xml:space="preserve"> (Rev. WRC-15);</w:t>
      </w:r>
      <w:r w:rsidRPr="00D84F33">
        <w:rPr>
          <w:rFonts w:eastAsia="Calibri"/>
          <w:i/>
          <w:szCs w:val="24"/>
          <w:lang w:val="en-US"/>
        </w:rPr>
        <w:t xml:space="preserve"> </w:t>
      </w:r>
    </w:p>
    <w:p w14:paraId="0176D81A" w14:textId="0C77BEDF" w:rsidR="00D84F33" w:rsidRPr="00D84F33" w:rsidRDefault="00D84F33" w:rsidP="00D84F33">
      <w:pPr>
        <w:rPr>
          <w:rFonts w:eastAsia="Calibri"/>
          <w:szCs w:val="24"/>
          <w:lang w:val="en-US"/>
        </w:rPr>
      </w:pPr>
      <w:r w:rsidRPr="00D84F33">
        <w:rPr>
          <w:rFonts w:eastAsia="Calibri"/>
          <w:i/>
          <w:szCs w:val="24"/>
          <w:lang w:val="en-US"/>
        </w:rPr>
        <w:lastRenderedPageBreak/>
        <w:t>j)</w:t>
      </w:r>
      <w:r w:rsidRPr="00D84F33">
        <w:rPr>
          <w:rFonts w:eastAsia="Calibri"/>
          <w:i/>
          <w:szCs w:val="24"/>
          <w:lang w:val="en-US"/>
        </w:rPr>
        <w:tab/>
      </w:r>
      <w:r w:rsidRPr="00D84F33">
        <w:rPr>
          <w:rFonts w:eastAsia="Calibri"/>
          <w:szCs w:val="24"/>
          <w:lang w:val="en-US"/>
        </w:rPr>
        <w:t>that the frequency band 29.5-30 GHz (Earth-to-space) is also allocated to the mobile-satellite service on a primary basis in 29.5-30 GHz in Region 2, on a primary basis in 29.9-30 GHz in Regions 1 and 3, and on a secondary basis in Regions 1 and 3 in 29.5-29.9 GHz;</w:t>
      </w:r>
    </w:p>
    <w:p w14:paraId="1716FB4D" w14:textId="09DAB636" w:rsidR="00D84F33" w:rsidRPr="00D84F33" w:rsidRDefault="001931EA" w:rsidP="00D84F33">
      <w:pPr>
        <w:rPr>
          <w:rFonts w:eastAsia="Calibri"/>
          <w:szCs w:val="24"/>
          <w:lang w:val="en-US"/>
        </w:rPr>
      </w:pPr>
      <w:r>
        <w:rPr>
          <w:rFonts w:eastAsia="Calibri"/>
          <w:i/>
          <w:iCs/>
          <w:szCs w:val="24"/>
          <w:lang w:val="en-US"/>
        </w:rPr>
        <w:t>k</w:t>
      </w:r>
      <w:r w:rsidR="00D84F33" w:rsidRPr="00D84F33">
        <w:rPr>
          <w:rFonts w:eastAsia="Calibri"/>
          <w:i/>
          <w:iCs/>
          <w:szCs w:val="24"/>
          <w:lang w:val="en-US"/>
        </w:rPr>
        <w:t>)</w:t>
      </w:r>
      <w:r w:rsidR="00D84F33" w:rsidRPr="00D84F33">
        <w:rPr>
          <w:rFonts w:eastAsia="Calibri"/>
          <w:szCs w:val="24"/>
          <w:lang w:val="en-US"/>
        </w:rPr>
        <w:tab/>
        <w:t xml:space="preserve">that use of bands </w:t>
      </w:r>
      <w:r w:rsidR="00D84F33" w:rsidRPr="00D84F33">
        <w:t xml:space="preserve">17.7-20.2 GHz, and 37.5-42 GHz </w:t>
      </w:r>
      <w:r w:rsidR="00D84F33" w:rsidRPr="00D84F33">
        <w:rPr>
          <w:rFonts w:eastAsia="Calibri"/>
          <w:szCs w:val="24"/>
          <w:lang w:val="en-US"/>
        </w:rPr>
        <w:t>by the fixed-satellite service are subject to existing RR footnotes, Resolutions, coordination requirements and country footnotes,</w:t>
      </w:r>
    </w:p>
    <w:p w14:paraId="67B3870C" w14:textId="77777777" w:rsidR="00D84F33" w:rsidRPr="00D84F33" w:rsidRDefault="00D84F33" w:rsidP="00D84F33">
      <w:pPr>
        <w:keepNext/>
        <w:keepLines/>
        <w:spacing w:before="160" w:after="120"/>
        <w:ind w:left="1138"/>
        <w:rPr>
          <w:i/>
        </w:rPr>
      </w:pPr>
      <w:r w:rsidRPr="00D84F33">
        <w:rPr>
          <w:i/>
        </w:rPr>
        <w:t>resolves to invite ITU-R</w:t>
      </w:r>
    </w:p>
    <w:p w14:paraId="0FA8660F" w14:textId="4708DD06" w:rsidR="0073564B" w:rsidRDefault="0073564B" w:rsidP="0073564B">
      <w:pPr>
        <w:tabs>
          <w:tab w:val="clear" w:pos="1134"/>
          <w:tab w:val="clear" w:pos="1871"/>
          <w:tab w:val="clear" w:pos="2268"/>
          <w:tab w:val="left" w:pos="1170"/>
        </w:tabs>
        <w:overflowPunct/>
        <w:spacing w:before="0"/>
        <w:textAlignment w:val="auto"/>
      </w:pPr>
      <w:r w:rsidRPr="00D84F33">
        <w:t>1</w:t>
      </w:r>
      <w:r w:rsidRPr="00D84F33">
        <w:tab/>
        <w:t xml:space="preserve">to </w:t>
      </w:r>
      <w:r>
        <w:t xml:space="preserve">conduct the </w:t>
      </w:r>
      <w:r w:rsidRPr="00B50058">
        <w:t xml:space="preserve">appropriate studies to determine the spectrum needs for additional inter-satellite service allocations in the </w:t>
      </w:r>
      <w:r w:rsidR="00FB27DA" w:rsidRPr="00B50058">
        <w:t xml:space="preserve">frequency bands </w:t>
      </w:r>
      <w:r w:rsidR="00BE7925" w:rsidRPr="00B50058">
        <w:t>given</w:t>
      </w:r>
      <w:r w:rsidR="00FB27DA" w:rsidRPr="00B50058">
        <w:t xml:space="preserve"> in </w:t>
      </w:r>
      <w:r w:rsidR="00FB27DA" w:rsidRPr="00B50058">
        <w:rPr>
          <w:i/>
        </w:rPr>
        <w:t>resolves</w:t>
      </w:r>
      <w:r w:rsidR="00FB27DA" w:rsidRPr="00B50058">
        <w:t xml:space="preserve"> 2</w:t>
      </w:r>
      <w:r w:rsidRPr="00B50058">
        <w:t xml:space="preserve">, </w:t>
      </w:r>
      <w:proofErr w:type="gramStart"/>
      <w:r w:rsidRPr="00B50058">
        <w:t>taking into account</w:t>
      </w:r>
      <w:proofErr w:type="gramEnd"/>
      <w:r w:rsidRPr="00B50058">
        <w:t xml:space="preserve"> various scenarios envisaged for these space-to-space transmissions and the related data traffic requirements; </w:t>
      </w:r>
    </w:p>
    <w:p w14:paraId="3847D72C" w14:textId="77777777" w:rsidR="00B50058" w:rsidRDefault="00B50058" w:rsidP="00B50058">
      <w:pPr>
        <w:tabs>
          <w:tab w:val="clear" w:pos="1134"/>
          <w:tab w:val="clear" w:pos="1871"/>
          <w:tab w:val="clear" w:pos="2268"/>
          <w:tab w:val="left" w:pos="1170"/>
        </w:tabs>
        <w:overflowPunct/>
        <w:spacing w:before="0"/>
        <w:textAlignment w:val="auto"/>
      </w:pPr>
    </w:p>
    <w:p w14:paraId="1DB3B895" w14:textId="6E7C7956" w:rsidR="00A975FC" w:rsidRPr="00B50058" w:rsidRDefault="0073564B" w:rsidP="00B50058">
      <w:pPr>
        <w:tabs>
          <w:tab w:val="clear" w:pos="1134"/>
          <w:tab w:val="clear" w:pos="1871"/>
          <w:tab w:val="clear" w:pos="2268"/>
          <w:tab w:val="left" w:pos="1170"/>
        </w:tabs>
        <w:overflowPunct/>
        <w:spacing w:before="0"/>
        <w:textAlignment w:val="auto"/>
      </w:pPr>
      <w:r w:rsidRPr="00B50058">
        <w:t>2</w:t>
      </w:r>
      <w:r w:rsidRPr="00B50058">
        <w:tab/>
        <w:t xml:space="preserve">to conduct and complete in time for WRC-23, the appropriate sharing and compatibility studies, taking into account the protection of services to which the band is allocated on a primary basis, </w:t>
      </w:r>
      <w:r w:rsidR="00BB5663" w:rsidRPr="00B50058">
        <w:t>for</w:t>
      </w:r>
      <w:r w:rsidR="00B605DC" w:rsidRPr="00B50058">
        <w:t xml:space="preserve"> inter-satellite service operations in the same directionality (see </w:t>
      </w:r>
      <w:r w:rsidR="00B605DC" w:rsidRPr="00B50058">
        <w:rPr>
          <w:i/>
          <w:iCs/>
        </w:rPr>
        <w:t>considering d</w:t>
      </w:r>
      <w:r w:rsidR="00B605DC" w:rsidRPr="00B50058">
        <w:t xml:space="preserve">) ) as existing satellite services </w:t>
      </w:r>
      <w:r w:rsidRPr="00B50058">
        <w:t xml:space="preserve">for the frequency bands: </w:t>
      </w:r>
    </w:p>
    <w:p w14:paraId="72B89088" w14:textId="0E104417" w:rsidR="00A975FC" w:rsidRPr="00B50058" w:rsidRDefault="00A975FC" w:rsidP="00B50058">
      <w:pPr>
        <w:pStyle w:val="ListParagraph"/>
        <w:numPr>
          <w:ilvl w:val="0"/>
          <w:numId w:val="18"/>
        </w:numPr>
        <w:rPr>
          <w:rFonts w:eastAsia="Calibri"/>
          <w:szCs w:val="24"/>
          <w:lang w:val="en-US"/>
        </w:rPr>
      </w:pPr>
      <w:r w:rsidRPr="00B50058">
        <w:t>1525</w:t>
      </w:r>
      <w:r w:rsidRPr="00B50058">
        <w:rPr>
          <w:color w:val="000000"/>
          <w:szCs w:val="22"/>
          <w:lang w:val="en-US"/>
        </w:rPr>
        <w:t>-1544 MHz, 1545</w:t>
      </w:r>
      <w:r w:rsidRPr="00B50058">
        <w:t xml:space="preserve">-1559 MHz, </w:t>
      </w:r>
      <w:r w:rsidRPr="00B50058">
        <w:rPr>
          <w:color w:val="000000"/>
        </w:rPr>
        <w:t xml:space="preserve">1610-1660.5 MHz, </w:t>
      </w:r>
      <w:r w:rsidRPr="00B50058">
        <w:t xml:space="preserve">2483.5-2500 MHz, </w:t>
      </w:r>
      <w:r w:rsidR="00B97FBB" w:rsidRPr="00B50058">
        <w:t xml:space="preserve">17.7-20.2 GHz, </w:t>
      </w:r>
      <w:r w:rsidR="00B5663C" w:rsidRPr="00B50058">
        <w:rPr>
          <w:rFonts w:eastAsia="Calibri"/>
          <w:szCs w:val="24"/>
          <w:lang w:val="en-US"/>
        </w:rPr>
        <w:t>28.6</w:t>
      </w:r>
      <w:r w:rsidR="00B97FBB" w:rsidRPr="00B50058">
        <w:rPr>
          <w:rFonts w:eastAsia="Calibri"/>
          <w:szCs w:val="24"/>
          <w:lang w:val="en-US"/>
        </w:rPr>
        <w:t xml:space="preserve">-30 GHz, </w:t>
      </w:r>
      <w:r w:rsidR="00B5663C" w:rsidRPr="00B50058">
        <w:t>40</w:t>
      </w:r>
      <w:r w:rsidR="00B97FBB" w:rsidRPr="00B50058">
        <w:t>-42 GHz,</w:t>
      </w:r>
      <w:r w:rsidR="00B97FBB" w:rsidRPr="00B50058">
        <w:rPr>
          <w:color w:val="000000"/>
          <w:szCs w:val="22"/>
          <w:lang w:val="en-US"/>
        </w:rPr>
        <w:t xml:space="preserve"> </w:t>
      </w:r>
      <w:r w:rsidR="004B4AC1" w:rsidRPr="00B50058">
        <w:rPr>
          <w:color w:val="000000"/>
          <w:szCs w:val="22"/>
          <w:lang w:val="en-US"/>
        </w:rPr>
        <w:t xml:space="preserve">and </w:t>
      </w:r>
      <w:r w:rsidR="00B97FBB" w:rsidRPr="00B50058">
        <w:rPr>
          <w:color w:val="000000"/>
          <w:szCs w:val="22"/>
          <w:lang w:val="en-US"/>
        </w:rPr>
        <w:t>4</w:t>
      </w:r>
      <w:r w:rsidR="00B5663C" w:rsidRPr="00B50058">
        <w:rPr>
          <w:color w:val="000000"/>
          <w:szCs w:val="22"/>
          <w:lang w:val="en-US"/>
        </w:rPr>
        <w:t>8</w:t>
      </w:r>
      <w:r w:rsidR="00B97FBB" w:rsidRPr="00B50058">
        <w:rPr>
          <w:color w:val="000000"/>
          <w:szCs w:val="22"/>
          <w:lang w:val="en-US"/>
        </w:rPr>
        <w:t>.2-50.2 GHz</w:t>
      </w:r>
      <w:r w:rsidRPr="00B50058">
        <w:rPr>
          <w:rFonts w:eastAsia="Calibri"/>
          <w:szCs w:val="24"/>
          <w:lang w:val="en-US"/>
        </w:rPr>
        <w:t>;</w:t>
      </w:r>
    </w:p>
    <w:p w14:paraId="2E96FC73" w14:textId="77777777" w:rsidR="0073564B" w:rsidRPr="00D84F33" w:rsidRDefault="0073564B" w:rsidP="0073564B">
      <w:pPr>
        <w:tabs>
          <w:tab w:val="clear" w:pos="1134"/>
          <w:tab w:val="clear" w:pos="1871"/>
          <w:tab w:val="clear" w:pos="2268"/>
        </w:tabs>
        <w:overflowPunct/>
        <w:spacing w:before="0"/>
        <w:textAlignment w:val="auto"/>
      </w:pPr>
    </w:p>
    <w:p w14:paraId="715FA30A" w14:textId="7682944E" w:rsidR="0073564B" w:rsidRPr="00B50058" w:rsidRDefault="00B97FBB" w:rsidP="00B50058">
      <w:pPr>
        <w:tabs>
          <w:tab w:val="clear" w:pos="1134"/>
          <w:tab w:val="clear" w:pos="1871"/>
          <w:tab w:val="clear" w:pos="2268"/>
          <w:tab w:val="left" w:pos="1170"/>
        </w:tabs>
        <w:overflowPunct/>
        <w:spacing w:before="0"/>
        <w:textAlignment w:val="auto"/>
        <w:rPr>
          <w:rFonts w:eastAsia="Calibri"/>
          <w:szCs w:val="24"/>
          <w:lang w:val="en-US"/>
        </w:rPr>
      </w:pPr>
      <w:r>
        <w:t>3</w:t>
      </w:r>
      <w:r w:rsidR="0073564B" w:rsidRPr="00D84F33">
        <w:tab/>
        <w:t xml:space="preserve">to </w:t>
      </w:r>
      <w:r w:rsidR="0073564B" w:rsidRPr="00D84F33">
        <w:rPr>
          <w:rFonts w:eastAsia="Calibri"/>
          <w:szCs w:val="24"/>
          <w:lang w:val="en-US"/>
        </w:rPr>
        <w:t xml:space="preserve">develop, for </w:t>
      </w:r>
      <w:r w:rsidR="0073564B" w:rsidRPr="00B50058">
        <w:rPr>
          <w:rFonts w:eastAsia="Calibri"/>
          <w:szCs w:val="24"/>
          <w:lang w:val="en-US"/>
        </w:rPr>
        <w:t>different types of non-GSO space stations and different portions of the</w:t>
      </w:r>
    </w:p>
    <w:p w14:paraId="121A142C" w14:textId="58678C3E" w:rsidR="00B50058" w:rsidRPr="00B50058" w:rsidRDefault="0073564B" w:rsidP="00B50058">
      <w:pPr>
        <w:tabs>
          <w:tab w:val="clear" w:pos="1134"/>
          <w:tab w:val="clear" w:pos="1871"/>
          <w:tab w:val="clear" w:pos="2268"/>
        </w:tabs>
        <w:overflowPunct/>
        <w:spacing w:before="0"/>
        <w:textAlignment w:val="auto"/>
        <w:rPr>
          <w:rFonts w:eastAsia="Calibri"/>
          <w:szCs w:val="24"/>
          <w:lang w:val="en-US"/>
        </w:rPr>
      </w:pPr>
      <w:r w:rsidRPr="00B50058">
        <w:rPr>
          <w:rFonts w:eastAsia="Calibri"/>
          <w:szCs w:val="24"/>
          <w:lang w:val="en-US"/>
        </w:rPr>
        <w:t>frequency bands studied, technical conditions and regulatory provisions for their operation</w:t>
      </w:r>
      <w:r w:rsidR="00D9331A" w:rsidRPr="00B50058">
        <w:rPr>
          <w:rFonts w:eastAsia="Calibri"/>
          <w:szCs w:val="24"/>
          <w:lang w:val="en-US"/>
        </w:rPr>
        <w:t xml:space="preserve"> in the frequency bands studied under </w:t>
      </w:r>
      <w:r w:rsidR="00D9331A" w:rsidRPr="00B50058">
        <w:rPr>
          <w:rFonts w:eastAsia="Calibri"/>
          <w:i/>
          <w:szCs w:val="24"/>
          <w:lang w:val="en-US"/>
        </w:rPr>
        <w:t xml:space="preserve">resolves </w:t>
      </w:r>
      <w:r w:rsidR="00D9331A" w:rsidRPr="00B50058">
        <w:rPr>
          <w:rFonts w:eastAsia="Calibri"/>
          <w:szCs w:val="24"/>
          <w:lang w:val="en-US"/>
        </w:rPr>
        <w:t>2</w:t>
      </w:r>
      <w:r w:rsidRPr="00B50058">
        <w:rPr>
          <w:rFonts w:eastAsia="Calibri"/>
          <w:szCs w:val="24"/>
          <w:lang w:val="en-US"/>
        </w:rPr>
        <w:t xml:space="preserve">, including possible new inter-satellite service allocations to potentially accommodate directional space-to-space use, as appropriate, </w:t>
      </w:r>
      <w:proofErr w:type="gramStart"/>
      <w:r w:rsidRPr="00B50058">
        <w:rPr>
          <w:rFonts w:eastAsia="Calibri"/>
          <w:szCs w:val="24"/>
          <w:lang w:val="en-US"/>
        </w:rPr>
        <w:t>taking into account</w:t>
      </w:r>
      <w:proofErr w:type="gramEnd"/>
      <w:r w:rsidRPr="00B50058">
        <w:rPr>
          <w:rFonts w:eastAsia="Calibri"/>
          <w:szCs w:val="24"/>
          <w:lang w:val="en-US"/>
        </w:rPr>
        <w:t xml:space="preserve"> the results of the studies above</w:t>
      </w:r>
      <w:r w:rsidR="00B50058">
        <w:rPr>
          <w:rFonts w:eastAsia="Calibri"/>
          <w:szCs w:val="24"/>
          <w:lang w:val="en-US"/>
        </w:rPr>
        <w:t>,</w:t>
      </w:r>
    </w:p>
    <w:p w14:paraId="42604EE0" w14:textId="77777777" w:rsidR="00D84F33" w:rsidRPr="00D84F33" w:rsidRDefault="00D84F33" w:rsidP="00D84F33">
      <w:pPr>
        <w:keepNext/>
        <w:keepLines/>
        <w:spacing w:before="160"/>
        <w:ind w:left="1134"/>
        <w:rPr>
          <w:i/>
        </w:rPr>
      </w:pPr>
      <w:r w:rsidRPr="00D84F33">
        <w:rPr>
          <w:i/>
        </w:rPr>
        <w:t>invites administrations</w:t>
      </w:r>
    </w:p>
    <w:p w14:paraId="323B4B22" w14:textId="66944382" w:rsidR="00B50058" w:rsidRPr="00B50058" w:rsidRDefault="00D84F33" w:rsidP="00B50058">
      <w:pPr>
        <w:rPr>
          <w:rFonts w:eastAsia="Calibri"/>
          <w:sz w:val="23"/>
          <w:szCs w:val="23"/>
          <w:lang w:val="en-US"/>
        </w:rPr>
      </w:pPr>
      <w:r w:rsidRPr="00D84F33">
        <w:rPr>
          <w:rFonts w:eastAsia="Calibri"/>
          <w:sz w:val="23"/>
          <w:szCs w:val="23"/>
          <w:lang w:val="en-US"/>
        </w:rPr>
        <w:t>to participate in the studies and to provide input contributions,</w:t>
      </w:r>
      <w:bookmarkStart w:id="13" w:name="_GoBack"/>
      <w:bookmarkEnd w:id="13"/>
    </w:p>
    <w:p w14:paraId="3CD49896" w14:textId="77777777" w:rsidR="00D84F33" w:rsidRPr="00D84F33" w:rsidRDefault="00D84F33" w:rsidP="00D84F33">
      <w:pPr>
        <w:keepNext/>
        <w:keepLines/>
        <w:spacing w:before="160"/>
        <w:ind w:left="1134"/>
        <w:rPr>
          <w:i/>
        </w:rPr>
      </w:pPr>
      <w:r w:rsidRPr="00D84F33">
        <w:rPr>
          <w:i/>
        </w:rPr>
        <w:t>resolves to invite the 2023 World Radiocommunication Conference</w:t>
      </w:r>
    </w:p>
    <w:p w14:paraId="42EE89DC" w14:textId="77777777" w:rsidR="00D84F33" w:rsidRPr="00D84F33" w:rsidRDefault="00D84F33" w:rsidP="00D84F33">
      <w:r w:rsidRPr="00D84F33">
        <w:t>to consider the results of the above studies and take necessary regulatory actions, as appropriate.</w:t>
      </w:r>
    </w:p>
    <w:p w14:paraId="542B8ED1" w14:textId="77777777" w:rsidR="00D84F33" w:rsidRPr="00D84F33" w:rsidRDefault="00D84F33" w:rsidP="00D84F33">
      <w:pPr>
        <w:tabs>
          <w:tab w:val="clear" w:pos="1134"/>
          <w:tab w:val="clear" w:pos="1871"/>
          <w:tab w:val="clear" w:pos="2268"/>
        </w:tabs>
        <w:overflowPunct/>
        <w:autoSpaceDE/>
        <w:autoSpaceDN/>
        <w:adjustRightInd/>
        <w:spacing w:before="0" w:after="160" w:line="259" w:lineRule="auto"/>
        <w:textAlignment w:val="auto"/>
        <w:rPr>
          <w:rFonts w:eastAsia="Calibri"/>
          <w:b/>
          <w:szCs w:val="22"/>
          <w:lang w:val="en-US"/>
        </w:rPr>
      </w:pPr>
      <w:r w:rsidRPr="00D84F33">
        <w:rPr>
          <w:rFonts w:eastAsia="Calibri"/>
          <w:b/>
          <w:szCs w:val="22"/>
          <w:lang w:val="en-US"/>
        </w:rPr>
        <w:br w:type="page"/>
      </w:r>
    </w:p>
    <w:p w14:paraId="33911AE7" w14:textId="610DB9AE" w:rsidR="00D84F33" w:rsidRPr="00D84F33" w:rsidRDefault="00D84F33">
      <w:pPr>
        <w:rPr>
          <w:rFonts w:eastAsia="Calibri"/>
          <w:i/>
          <w:szCs w:val="24"/>
          <w:lang w:val="en-US"/>
        </w:rPr>
      </w:pPr>
    </w:p>
    <w:p w14:paraId="26EBA4A1" w14:textId="02B5BD24" w:rsidR="00D84F33" w:rsidRPr="00D84F33" w:rsidRDefault="00D84F33" w:rsidP="00D84F33">
      <w:pPr>
        <w:rPr>
          <w:rFonts w:eastAsia="Calibri"/>
          <w:szCs w:val="24"/>
          <w:lang w:val="en-US"/>
        </w:rPr>
      </w:pPr>
      <w:r w:rsidRPr="00D84F33">
        <w:rPr>
          <w:rFonts w:eastAsia="Calibri"/>
          <w:i/>
          <w:szCs w:val="24"/>
          <w:lang w:val="en-US"/>
        </w:rPr>
        <w:tab/>
      </w:r>
    </w:p>
    <w:p w14:paraId="0E232376" w14:textId="77777777" w:rsidR="00D84F33" w:rsidRPr="00D84F33" w:rsidRDefault="00D84F33" w:rsidP="00D84F33">
      <w:pPr>
        <w:tabs>
          <w:tab w:val="clear" w:pos="1134"/>
          <w:tab w:val="clear" w:pos="1871"/>
          <w:tab w:val="clear" w:pos="2268"/>
        </w:tabs>
        <w:overflowPunct/>
        <w:spacing w:before="0"/>
        <w:textAlignment w:val="auto"/>
        <w:rPr>
          <w:rFonts w:eastAsia="Calibri"/>
          <w:szCs w:val="24"/>
          <w:lang w:val="en-US"/>
        </w:rPr>
      </w:pPr>
    </w:p>
    <w:p w14:paraId="22E86FCD"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jc w:val="center"/>
        <w:textAlignment w:val="auto"/>
        <w:rPr>
          <w:rFonts w:ascii="TimesNewRomanPS-BoldMT" w:eastAsia="Calibri" w:hAnsi="TimesNewRomanPS-BoldMT" w:cs="TimesNewRomanPS-BoldMT"/>
          <w:b/>
          <w:bCs/>
          <w:szCs w:val="24"/>
          <w:lang w:val="en-US"/>
        </w:rPr>
      </w:pPr>
      <w:r w:rsidRPr="00D84F33">
        <w:rPr>
          <w:rFonts w:ascii="TimesNewRomanPS-BoldMT" w:eastAsia="Calibri" w:hAnsi="TimesNewRomanPS-BoldMT" w:cs="TimesNewRomanPS-BoldMT"/>
          <w:b/>
          <w:bCs/>
          <w:szCs w:val="24"/>
          <w:lang w:val="en-US"/>
        </w:rPr>
        <w:t>ATTACHMENT</w:t>
      </w:r>
    </w:p>
    <w:p w14:paraId="4A15DECB"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ascii="TimesNewRomanPS-BoldMT" w:eastAsia="Calibri" w:hAnsi="TimesNewRomanPS-BoldMT" w:cs="TimesNewRomanPS-BoldMT"/>
          <w:b/>
          <w:bCs/>
          <w:szCs w:val="24"/>
          <w:lang w:val="en-US"/>
        </w:rPr>
      </w:pPr>
    </w:p>
    <w:p w14:paraId="4410EAFC"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jc w:val="center"/>
        <w:textAlignment w:val="auto"/>
        <w:rPr>
          <w:rFonts w:ascii="TimesNewRomanPS-BoldMT" w:eastAsia="Calibri" w:hAnsi="TimesNewRomanPS-BoldMT" w:cs="TimesNewRomanPS-BoldMT"/>
          <w:b/>
          <w:bCs/>
          <w:szCs w:val="24"/>
          <w:lang w:val="en-US"/>
        </w:rPr>
      </w:pPr>
      <w:r w:rsidRPr="00D84F33">
        <w:rPr>
          <w:rFonts w:ascii="TimesNewRomanPS-BoldMT" w:eastAsia="Calibri" w:hAnsi="TimesNewRomanPS-BoldMT" w:cs="TimesNewRomanPS-BoldMT"/>
          <w:b/>
          <w:bCs/>
          <w:szCs w:val="24"/>
          <w:lang w:val="en-US"/>
        </w:rPr>
        <w:t>PROPOSAL FOR FUTURE AGENDA ITEM FOR WRC-23</w:t>
      </w:r>
    </w:p>
    <w:p w14:paraId="5813AC33"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ascii="TimesNewRomanPSMT" w:eastAsia="Calibri" w:hAnsi="TimesNewRomanPSMT" w:cs="TimesNewRomanPSMT"/>
          <w:szCs w:val="24"/>
          <w:lang w:val="en-US"/>
        </w:rPr>
      </w:pPr>
    </w:p>
    <w:p w14:paraId="05C1F487"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ascii="TimesNewRomanPSMT" w:eastAsia="Calibri" w:hAnsi="TimesNewRomanPSMT" w:cs="TimesNewRomanPSMT"/>
          <w:szCs w:val="24"/>
          <w:lang w:val="en-US"/>
        </w:rPr>
      </w:pPr>
    </w:p>
    <w:p w14:paraId="7CCE83E8" w14:textId="0C6D9A52"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eastAsia="Calibri"/>
          <w:bCs/>
          <w:szCs w:val="24"/>
          <w:lang w:val="en-US"/>
        </w:rPr>
      </w:pPr>
      <w:r w:rsidRPr="00D84F33">
        <w:rPr>
          <w:rFonts w:ascii="TimesNewRomanPSMT" w:eastAsia="Calibri" w:hAnsi="TimesNewRomanPSMT" w:cs="TimesNewRomanPSMT"/>
          <w:b/>
          <w:szCs w:val="24"/>
          <w:lang w:val="en-US"/>
        </w:rPr>
        <w:t>Subject:</w:t>
      </w:r>
      <w:r w:rsidRPr="00D84F33">
        <w:rPr>
          <w:rFonts w:ascii="TimesNewRomanPSMT" w:eastAsia="Calibri" w:hAnsi="TimesNewRomanPSMT" w:cs="TimesNewRomanPSMT"/>
          <w:szCs w:val="24"/>
          <w:lang w:val="en-US"/>
        </w:rPr>
        <w:t xml:space="preserve"> Proposed Future WRC Agenda Item for WRC-2023 to consider </w:t>
      </w:r>
      <w:r w:rsidR="0073564B">
        <w:rPr>
          <w:rFonts w:ascii="TimesNewRomanPSMT" w:eastAsia="Calibri" w:hAnsi="TimesNewRomanPSMT" w:cs="TimesNewRomanPSMT"/>
          <w:szCs w:val="24"/>
          <w:lang w:val="en-US"/>
        </w:rPr>
        <w:t xml:space="preserve">additional allocations to the inter-satellite service based on </w:t>
      </w:r>
      <w:r w:rsidRPr="00D84F33">
        <w:rPr>
          <w:rFonts w:ascii="TimesNewRomanPSMT" w:eastAsia="Calibri" w:hAnsi="TimesNewRomanPSMT" w:cs="TimesNewRomanPSMT"/>
          <w:szCs w:val="24"/>
          <w:lang w:val="en-US"/>
        </w:rPr>
        <w:t xml:space="preserve">the results of studies on the </w:t>
      </w:r>
      <w:r w:rsidRPr="00D84F33">
        <w:rPr>
          <w:rFonts w:eastAsia="Calibri"/>
          <w:bCs/>
          <w:szCs w:val="24"/>
          <w:lang w:val="en-US"/>
        </w:rPr>
        <w:t xml:space="preserve">compatibility of lower orbital altitude non-GSO satellite-to-higher orbital altitude non-GSO and GSO satellite links, in the Earth-to-space and space-to Earth directions, </w:t>
      </w:r>
      <w:r w:rsidR="0073564B">
        <w:rPr>
          <w:rFonts w:eastAsia="Calibri"/>
          <w:bCs/>
          <w:szCs w:val="24"/>
          <w:lang w:val="en-US"/>
        </w:rPr>
        <w:t>and with other services allocated to the bands.</w:t>
      </w:r>
      <w:r w:rsidR="0073564B" w:rsidRPr="00D84F33" w:rsidDel="0073564B">
        <w:rPr>
          <w:rFonts w:eastAsia="Calibri"/>
          <w:bCs/>
          <w:szCs w:val="24"/>
          <w:lang w:val="en-US"/>
        </w:rPr>
        <w:t xml:space="preserve"> </w:t>
      </w:r>
    </w:p>
    <w:p w14:paraId="19A74336"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ascii="TimesNewRomanPS-BoldMT" w:eastAsia="Calibri" w:hAnsi="TimesNewRomanPS-BoldMT" w:cs="TimesNewRomanPS-BoldMT"/>
          <w:b/>
          <w:bCs/>
          <w:szCs w:val="24"/>
          <w:lang w:val="en-US"/>
        </w:rPr>
      </w:pPr>
    </w:p>
    <w:p w14:paraId="40CA1FB2"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ascii="TimesNewRomanPSMT" w:eastAsia="Calibri" w:hAnsi="TimesNewRomanPSMT" w:cs="TimesNewRomanPSMT"/>
          <w:szCs w:val="24"/>
          <w:lang w:val="en-US"/>
        </w:rPr>
      </w:pPr>
      <w:r w:rsidRPr="00D84F33">
        <w:rPr>
          <w:rFonts w:ascii="TimesNewRomanPS-BoldMT" w:eastAsia="Calibri" w:hAnsi="TimesNewRomanPS-BoldMT" w:cs="TimesNewRomanPS-BoldMT"/>
          <w:b/>
          <w:bCs/>
          <w:szCs w:val="24"/>
          <w:lang w:val="en-US"/>
        </w:rPr>
        <w:t>Origin</w:t>
      </w:r>
      <w:r w:rsidRPr="00D84F33">
        <w:rPr>
          <w:rFonts w:ascii="TimesNewRomanPSMT" w:eastAsia="Calibri" w:hAnsi="TimesNewRomanPSMT" w:cs="TimesNewRomanPSMT"/>
          <w:szCs w:val="24"/>
          <w:lang w:val="en-US"/>
        </w:rPr>
        <w:t>: United States of America</w:t>
      </w:r>
    </w:p>
    <w:p w14:paraId="252EC888" w14:textId="77777777" w:rsidR="00D84F33" w:rsidRPr="00D84F33" w:rsidRDefault="00D84F33" w:rsidP="00D84F33">
      <w:pPr>
        <w:pBdr>
          <w:bottom w:val="single" w:sz="12" w:space="1" w:color="auto"/>
        </w:pBdr>
        <w:tabs>
          <w:tab w:val="clear" w:pos="1134"/>
          <w:tab w:val="clear" w:pos="1871"/>
          <w:tab w:val="clear" w:pos="2268"/>
          <w:tab w:val="left" w:pos="576"/>
          <w:tab w:val="left" w:pos="794"/>
          <w:tab w:val="left" w:pos="1008"/>
          <w:tab w:val="left" w:pos="1191"/>
          <w:tab w:val="left" w:pos="1224"/>
          <w:tab w:val="left" w:pos="1440"/>
          <w:tab w:val="left" w:pos="1588"/>
          <w:tab w:val="left" w:pos="1985"/>
        </w:tabs>
        <w:overflowPunct/>
        <w:autoSpaceDE/>
        <w:autoSpaceDN/>
        <w:adjustRightInd/>
        <w:spacing w:before="0"/>
        <w:textAlignment w:val="auto"/>
        <w:rPr>
          <w:rFonts w:eastAsia="Calibri"/>
          <w:color w:val="000000"/>
          <w:szCs w:val="24"/>
          <w:lang w:val="en-US"/>
        </w:rPr>
      </w:pPr>
    </w:p>
    <w:p w14:paraId="7D7A28E4" w14:textId="77777777" w:rsidR="00CC653C" w:rsidRDefault="00CC653C" w:rsidP="004B4AC1">
      <w:pPr>
        <w:rPr>
          <w:rFonts w:ascii="TimesNewRomanPS-ItalicMT" w:eastAsia="Calibri" w:hAnsi="TimesNewRomanPS-ItalicMT" w:cs="TimesNewRomanPS-ItalicMT"/>
          <w:iCs/>
          <w:szCs w:val="24"/>
          <w:lang w:val="en-US"/>
        </w:rPr>
      </w:pPr>
      <w:r w:rsidRPr="00CC653C">
        <w:rPr>
          <w:rFonts w:ascii="TimesNewRomanPS-ItalicMT" w:eastAsia="Calibri" w:hAnsi="TimesNewRomanPS-ItalicMT" w:cs="TimesNewRomanPS-ItalicMT"/>
          <w:b/>
          <w:bCs/>
          <w:i/>
          <w:szCs w:val="24"/>
          <w:lang w:val="en-US"/>
        </w:rPr>
        <w:t>Proposal:</w:t>
      </w:r>
      <w:r>
        <w:rPr>
          <w:rFonts w:ascii="TimesNewRomanPS-ItalicMT" w:eastAsia="Calibri" w:hAnsi="TimesNewRomanPS-ItalicMT" w:cs="TimesNewRomanPS-ItalicMT"/>
          <w:iCs/>
          <w:szCs w:val="24"/>
          <w:lang w:val="en-US"/>
        </w:rPr>
        <w:t xml:space="preserve">  </w:t>
      </w:r>
    </w:p>
    <w:p w14:paraId="12734BF4" w14:textId="53752E44" w:rsidR="004B4AC1" w:rsidRPr="00CC653C" w:rsidRDefault="00CC653C" w:rsidP="004B4AC1">
      <w:pPr>
        <w:rPr>
          <w:rFonts w:ascii="TimesNewRomanPS-ItalicMT" w:eastAsia="Calibri" w:hAnsi="TimesNewRomanPS-ItalicMT" w:cs="TimesNewRomanPS-ItalicMT"/>
          <w:iCs/>
          <w:szCs w:val="24"/>
          <w:lang w:val="en-US"/>
        </w:rPr>
      </w:pPr>
      <w:r>
        <w:rPr>
          <w:rFonts w:ascii="TimesNewRomanPS-ItalicMT" w:eastAsia="Calibri" w:hAnsi="TimesNewRomanPS-ItalicMT" w:cs="TimesNewRomanPS-ItalicMT"/>
          <w:iCs/>
          <w:szCs w:val="24"/>
          <w:lang w:val="en-US"/>
        </w:rPr>
        <w:t>T</w:t>
      </w:r>
      <w:r w:rsidR="004B4AC1" w:rsidRPr="00CC653C">
        <w:rPr>
          <w:rFonts w:ascii="TimesNewRomanPS-ItalicMT" w:eastAsia="Calibri" w:hAnsi="TimesNewRomanPS-ItalicMT" w:cs="TimesNewRomanPS-ItalicMT"/>
          <w:iCs/>
          <w:szCs w:val="24"/>
          <w:lang w:val="en-US"/>
        </w:rPr>
        <w:t>o consider additional allocations and regulatory conditions for the inter-satellite service (ISS), under which space-to-space transmissions in the same direction (Earth-to-space or space-to-Earth) as the current fixed and mobile satellite service allocations, between non-geostationary orbit (non-GSO) space stations at different orbital altitudes or between non-GSO and geostationary orbit (GSO) space stations may be accommodated, in accordance with Resolution [A10-ISL] (WRC-19)</w:t>
      </w:r>
      <w:r>
        <w:rPr>
          <w:rFonts w:ascii="TimesNewRomanPS-ItalicMT" w:eastAsia="Calibri" w:hAnsi="TimesNewRomanPS-ItalicMT" w:cs="TimesNewRomanPS-ItalicMT"/>
          <w:iCs/>
          <w:szCs w:val="24"/>
          <w:lang w:val="en-US"/>
        </w:rPr>
        <w:t>.</w:t>
      </w:r>
      <w:r w:rsidR="004B4AC1" w:rsidRPr="00CC653C">
        <w:rPr>
          <w:rFonts w:ascii="TimesNewRomanPS-ItalicMT" w:eastAsia="Calibri" w:hAnsi="TimesNewRomanPS-ItalicMT" w:cs="TimesNewRomanPS-ItalicMT"/>
          <w:iCs/>
          <w:szCs w:val="24"/>
          <w:lang w:val="en-US"/>
        </w:rPr>
        <w:t xml:space="preserve"> </w:t>
      </w:r>
    </w:p>
    <w:p w14:paraId="010EC839" w14:textId="77777777" w:rsidR="00D84F33" w:rsidRPr="00D84F33" w:rsidRDefault="00D84F33" w:rsidP="00D84F33">
      <w:pPr>
        <w:pBdr>
          <w:bottom w:val="single" w:sz="12" w:space="1" w:color="auto"/>
        </w:pBdr>
        <w:tabs>
          <w:tab w:val="clear" w:pos="1134"/>
          <w:tab w:val="clear" w:pos="1871"/>
          <w:tab w:val="clear" w:pos="2268"/>
          <w:tab w:val="left" w:pos="576"/>
          <w:tab w:val="left" w:pos="794"/>
          <w:tab w:val="left" w:pos="1008"/>
          <w:tab w:val="left" w:pos="1191"/>
          <w:tab w:val="left" w:pos="1224"/>
          <w:tab w:val="left" w:pos="1440"/>
          <w:tab w:val="left" w:pos="1588"/>
          <w:tab w:val="left" w:pos="1985"/>
        </w:tabs>
        <w:overflowPunct/>
        <w:autoSpaceDE/>
        <w:autoSpaceDN/>
        <w:adjustRightInd/>
        <w:spacing w:before="0"/>
        <w:textAlignment w:val="auto"/>
        <w:rPr>
          <w:rFonts w:eastAsia="Calibri"/>
          <w:color w:val="000000"/>
          <w:szCs w:val="24"/>
          <w:lang w:val="en-US"/>
        </w:rPr>
      </w:pPr>
    </w:p>
    <w:p w14:paraId="2F23D7A6"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eastAsia="Calibri"/>
          <w:b/>
          <w:bCs/>
          <w:i/>
          <w:iCs/>
          <w:szCs w:val="24"/>
          <w:lang w:val="en-US"/>
        </w:rPr>
      </w:pPr>
      <w:r w:rsidRPr="00D84F33">
        <w:rPr>
          <w:rFonts w:eastAsia="Calibri"/>
          <w:b/>
          <w:bCs/>
          <w:i/>
          <w:iCs/>
          <w:szCs w:val="24"/>
          <w:lang w:val="en-US"/>
        </w:rPr>
        <w:t>Background/reason:</w:t>
      </w:r>
    </w:p>
    <w:p w14:paraId="0D14C3D7" w14:textId="00FD6142"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ascii="TimesNewRomanPS-ItalicMT" w:eastAsia="Calibri" w:hAnsi="TimesNewRomanPS-ItalicMT" w:cs="TimesNewRomanPS-ItalicMT"/>
          <w:iCs/>
          <w:szCs w:val="24"/>
          <w:lang w:val="en-US"/>
        </w:rPr>
      </w:pPr>
      <w:r w:rsidRPr="00D84F33">
        <w:rPr>
          <w:rFonts w:ascii="TimesNewRomanPS-ItalicMT" w:eastAsia="Calibri" w:hAnsi="TimesNewRomanPS-ItalicMT" w:cs="TimesNewRomanPS-ItalicMT"/>
          <w:iCs/>
          <w:szCs w:val="24"/>
          <w:lang w:val="en-US"/>
        </w:rPr>
        <w:t xml:space="preserve">To provide a means for recognizing in the Radio Regulations space-to-space transmissions in the Earth-to-space and space-to-Earth directions between non-GSO space stations, and non-GSO and geostationary orbit </w:t>
      </w:r>
      <w:r w:rsidRPr="00D84F33">
        <w:rPr>
          <w:color w:val="000000"/>
          <w:szCs w:val="22"/>
          <w:lang w:val="en-US"/>
        </w:rPr>
        <w:t xml:space="preserve">space stations, at different orbital altitudes </w:t>
      </w:r>
      <w:r w:rsidRPr="00D84F33">
        <w:rPr>
          <w:rFonts w:ascii="TimesNewRomanPS-ItalicMT" w:eastAsia="Calibri" w:hAnsi="TimesNewRomanPS-ItalicMT" w:cs="TimesNewRomanPS-ItalicMT"/>
          <w:iCs/>
          <w:szCs w:val="24"/>
          <w:lang w:val="en-US"/>
        </w:rPr>
        <w:t xml:space="preserve">in specified frequency bands </w:t>
      </w:r>
      <w:r w:rsidRPr="00D84F33">
        <w:rPr>
          <w:color w:val="000000"/>
          <w:szCs w:val="22"/>
          <w:lang w:val="en-US"/>
        </w:rPr>
        <w:t>allocated to the fixed-satellite service</w:t>
      </w:r>
      <w:r w:rsidR="00FF586B">
        <w:rPr>
          <w:color w:val="000000"/>
          <w:szCs w:val="22"/>
          <w:lang w:val="en-US"/>
        </w:rPr>
        <w:t xml:space="preserve"> and</w:t>
      </w:r>
      <w:r w:rsidR="00FF586B" w:rsidRPr="00D84F33">
        <w:rPr>
          <w:color w:val="000000"/>
          <w:szCs w:val="22"/>
          <w:lang w:val="en-US"/>
        </w:rPr>
        <w:t xml:space="preserve"> </w:t>
      </w:r>
      <w:r w:rsidRPr="00D84F33">
        <w:rPr>
          <w:color w:val="000000"/>
          <w:szCs w:val="22"/>
          <w:lang w:val="en-US"/>
        </w:rPr>
        <w:t xml:space="preserve">mobile-satellite service </w:t>
      </w:r>
      <w:r w:rsidRPr="00D84F33">
        <w:rPr>
          <w:rFonts w:ascii="TimesNewRomanPS-ItalicMT" w:eastAsia="Calibri" w:hAnsi="TimesNewRomanPS-ItalicMT" w:cs="TimesNewRomanPS-ItalicMT"/>
          <w:iCs/>
          <w:szCs w:val="24"/>
          <w:lang w:val="en-US"/>
        </w:rPr>
        <w:t>where conditions of avoiding interference with existing systems are met.</w:t>
      </w:r>
    </w:p>
    <w:p w14:paraId="70A9C77D" w14:textId="77777777" w:rsidR="00D84F33" w:rsidRPr="00D84F33" w:rsidRDefault="00D84F33" w:rsidP="00D84F33">
      <w:pPr>
        <w:pBdr>
          <w:bottom w:val="single" w:sz="12" w:space="1" w:color="auto"/>
        </w:pBdr>
        <w:tabs>
          <w:tab w:val="clear" w:pos="1134"/>
          <w:tab w:val="clear" w:pos="1871"/>
          <w:tab w:val="clear" w:pos="2268"/>
          <w:tab w:val="left" w:pos="576"/>
          <w:tab w:val="left" w:pos="794"/>
          <w:tab w:val="left" w:pos="1008"/>
          <w:tab w:val="left" w:pos="1191"/>
          <w:tab w:val="left" w:pos="1224"/>
          <w:tab w:val="left" w:pos="1440"/>
          <w:tab w:val="left" w:pos="1588"/>
          <w:tab w:val="left" w:pos="1985"/>
        </w:tabs>
        <w:overflowPunct/>
        <w:autoSpaceDE/>
        <w:autoSpaceDN/>
        <w:adjustRightInd/>
        <w:spacing w:before="0"/>
        <w:textAlignment w:val="auto"/>
        <w:rPr>
          <w:rFonts w:eastAsia="Calibri"/>
          <w:color w:val="000000"/>
          <w:szCs w:val="24"/>
          <w:lang w:val="en-US"/>
        </w:rPr>
      </w:pPr>
    </w:p>
    <w:p w14:paraId="3C56E755"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eastAsia="Calibri"/>
          <w:b/>
          <w:bCs/>
          <w:i/>
          <w:iCs/>
          <w:szCs w:val="24"/>
          <w:lang w:val="en-US"/>
        </w:rPr>
      </w:pPr>
      <w:r w:rsidRPr="00D84F33">
        <w:rPr>
          <w:rFonts w:eastAsia="Calibri"/>
          <w:b/>
          <w:bCs/>
          <w:i/>
          <w:iCs/>
          <w:szCs w:val="24"/>
          <w:lang w:val="en-US"/>
        </w:rPr>
        <w:t xml:space="preserve">Radiocommunication services concerned: </w:t>
      </w:r>
    </w:p>
    <w:p w14:paraId="6CF56CBC"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ascii="TimesNewRomanPSMT" w:eastAsia="Calibri" w:hAnsi="TimesNewRomanPSMT" w:cs="TimesNewRomanPSMT"/>
          <w:szCs w:val="24"/>
          <w:lang w:val="en-US"/>
        </w:rPr>
      </w:pPr>
      <w:r w:rsidRPr="00D84F33">
        <w:rPr>
          <w:rFonts w:ascii="TimesNewRomanPSMT" w:eastAsia="Calibri" w:hAnsi="TimesNewRomanPSMT" w:cs="TimesNewRomanPSMT"/>
          <w:szCs w:val="24"/>
          <w:lang w:val="en-US"/>
        </w:rPr>
        <w:t>Aeronautical Radionavigation, Broadcasting-Satellite, Earth Exploration Satellite, Fixed, Fixed-Satellite, Meteorological Aids, Meteorological-Satellite, Mobile, Mobile Satellite, Radio Astronomy, Radiodetermination-Satellite, Radionavigation-Satellite, Radiolocation, Space Operation, Space Research.</w:t>
      </w:r>
    </w:p>
    <w:p w14:paraId="1E5965BB" w14:textId="77777777" w:rsidR="00D84F33" w:rsidRPr="00D84F33" w:rsidRDefault="00D84F33" w:rsidP="00D84F33">
      <w:pPr>
        <w:pBdr>
          <w:bottom w:val="single" w:sz="12" w:space="1" w:color="auto"/>
        </w:pBdr>
        <w:tabs>
          <w:tab w:val="clear" w:pos="1134"/>
          <w:tab w:val="clear" w:pos="1871"/>
          <w:tab w:val="clear" w:pos="2268"/>
          <w:tab w:val="left" w:pos="576"/>
          <w:tab w:val="left" w:pos="794"/>
          <w:tab w:val="left" w:pos="1008"/>
          <w:tab w:val="left" w:pos="1191"/>
          <w:tab w:val="left" w:pos="1224"/>
          <w:tab w:val="left" w:pos="1440"/>
          <w:tab w:val="left" w:pos="1588"/>
          <w:tab w:val="left" w:pos="1985"/>
        </w:tabs>
        <w:overflowPunct/>
        <w:autoSpaceDE/>
        <w:autoSpaceDN/>
        <w:adjustRightInd/>
        <w:spacing w:before="0"/>
        <w:textAlignment w:val="auto"/>
        <w:rPr>
          <w:rFonts w:eastAsia="Calibri"/>
          <w:color w:val="000000"/>
          <w:szCs w:val="24"/>
          <w:lang w:val="en-US"/>
        </w:rPr>
      </w:pPr>
    </w:p>
    <w:p w14:paraId="66A06D1B"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ascii="TimesNewRomanPSMT" w:eastAsia="Calibri" w:hAnsi="TimesNewRomanPSMT" w:cs="TimesNewRomanPSMT"/>
          <w:szCs w:val="24"/>
          <w:lang w:val="en-US"/>
        </w:rPr>
      </w:pPr>
      <w:r w:rsidRPr="00D84F33">
        <w:rPr>
          <w:rFonts w:eastAsia="Calibri"/>
          <w:b/>
          <w:bCs/>
          <w:i/>
          <w:iCs/>
          <w:szCs w:val="24"/>
          <w:lang w:val="en-US"/>
        </w:rPr>
        <w:t xml:space="preserve">Indication of possible difficulties: </w:t>
      </w:r>
      <w:r w:rsidRPr="00D84F33">
        <w:rPr>
          <w:rFonts w:ascii="TimesNewRomanPSMT" w:eastAsia="Calibri" w:hAnsi="TimesNewRomanPSMT" w:cs="TimesNewRomanPSMT"/>
          <w:szCs w:val="24"/>
          <w:lang w:val="en-US"/>
        </w:rPr>
        <w:t xml:space="preserve"> None foreseen</w:t>
      </w:r>
    </w:p>
    <w:p w14:paraId="33868B29" w14:textId="77777777" w:rsidR="00D84F33" w:rsidRPr="00D84F33" w:rsidRDefault="00D84F33" w:rsidP="00D84F33">
      <w:pPr>
        <w:pBdr>
          <w:bottom w:val="single" w:sz="12" w:space="1" w:color="auto"/>
        </w:pBdr>
        <w:tabs>
          <w:tab w:val="clear" w:pos="1134"/>
          <w:tab w:val="clear" w:pos="1871"/>
          <w:tab w:val="clear" w:pos="2268"/>
          <w:tab w:val="left" w:pos="576"/>
          <w:tab w:val="left" w:pos="794"/>
          <w:tab w:val="left" w:pos="1008"/>
          <w:tab w:val="left" w:pos="1191"/>
          <w:tab w:val="left" w:pos="1224"/>
          <w:tab w:val="left" w:pos="1440"/>
          <w:tab w:val="left" w:pos="1588"/>
          <w:tab w:val="left" w:pos="1985"/>
        </w:tabs>
        <w:overflowPunct/>
        <w:autoSpaceDE/>
        <w:autoSpaceDN/>
        <w:adjustRightInd/>
        <w:spacing w:before="0"/>
        <w:textAlignment w:val="auto"/>
        <w:rPr>
          <w:rFonts w:eastAsia="Calibri"/>
          <w:color w:val="000000"/>
          <w:szCs w:val="24"/>
          <w:lang w:val="en-US"/>
        </w:rPr>
      </w:pPr>
    </w:p>
    <w:p w14:paraId="4B958261"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ascii="TimesNewRomanPSMT" w:eastAsia="Calibri" w:hAnsi="TimesNewRomanPSMT" w:cs="TimesNewRomanPSMT"/>
          <w:szCs w:val="24"/>
          <w:lang w:val="en-US"/>
        </w:rPr>
      </w:pPr>
      <w:r w:rsidRPr="00D84F33">
        <w:rPr>
          <w:rFonts w:eastAsia="Calibri"/>
          <w:b/>
          <w:bCs/>
          <w:i/>
          <w:iCs/>
          <w:szCs w:val="24"/>
          <w:lang w:val="en-US"/>
        </w:rPr>
        <w:t xml:space="preserve">Previous/ongoing studies on the issue: </w:t>
      </w:r>
      <w:r w:rsidRPr="00D84F33">
        <w:rPr>
          <w:rFonts w:ascii="TimesNewRomanPSMT" w:eastAsia="Calibri" w:hAnsi="TimesNewRomanPSMT" w:cs="TimesNewRomanPSMT"/>
          <w:szCs w:val="24"/>
          <w:lang w:val="en-US"/>
        </w:rPr>
        <w:t>Studies have been initiated in Working Party 4A and WP4C during the 2016-2019 ITU-R Study Cycle</w:t>
      </w:r>
    </w:p>
    <w:p w14:paraId="41B79EF3" w14:textId="77777777" w:rsidR="00D84F33" w:rsidRPr="00D84F33" w:rsidRDefault="00D84F33" w:rsidP="00D84F33">
      <w:pPr>
        <w:pBdr>
          <w:bottom w:val="single" w:sz="12" w:space="1" w:color="auto"/>
        </w:pBdr>
        <w:tabs>
          <w:tab w:val="clear" w:pos="1134"/>
          <w:tab w:val="clear" w:pos="1871"/>
          <w:tab w:val="clear" w:pos="2268"/>
          <w:tab w:val="left" w:pos="576"/>
          <w:tab w:val="left" w:pos="794"/>
          <w:tab w:val="left" w:pos="1008"/>
          <w:tab w:val="left" w:pos="1191"/>
          <w:tab w:val="left" w:pos="1224"/>
          <w:tab w:val="left" w:pos="1440"/>
          <w:tab w:val="left" w:pos="1588"/>
          <w:tab w:val="left" w:pos="1985"/>
        </w:tabs>
        <w:overflowPunct/>
        <w:autoSpaceDE/>
        <w:autoSpaceDN/>
        <w:adjustRightInd/>
        <w:spacing w:before="0"/>
        <w:textAlignment w:val="auto"/>
        <w:rPr>
          <w:rFonts w:eastAsia="Calibri"/>
          <w:color w:val="000000"/>
          <w:szCs w:val="24"/>
          <w:lang w:val="en-US"/>
        </w:rPr>
      </w:pPr>
    </w:p>
    <w:tbl>
      <w:tblPr>
        <w:tblW w:w="0" w:type="auto"/>
        <w:tblBorders>
          <w:bottom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979"/>
        <w:gridCol w:w="5357"/>
      </w:tblGrid>
      <w:tr w:rsidR="00D84F33" w:rsidRPr="00D84F33" w14:paraId="56CC630F" w14:textId="77777777" w:rsidTr="00FE3F0D">
        <w:tc>
          <w:tcPr>
            <w:tcW w:w="3979" w:type="dxa"/>
            <w:tcBorders>
              <w:top w:val="nil"/>
              <w:left w:val="nil"/>
              <w:bottom w:val="single" w:sz="12" w:space="0" w:color="auto"/>
              <w:right w:val="single" w:sz="12" w:space="0" w:color="auto"/>
            </w:tcBorders>
            <w:hideMark/>
          </w:tcPr>
          <w:p w14:paraId="3C59B6B4" w14:textId="77777777" w:rsidR="00D84F33" w:rsidRPr="00D84F33" w:rsidRDefault="00D84F33" w:rsidP="00D84F33">
            <w:pPr>
              <w:framePr w:hSpace="181" w:wrap="notBeside" w:vAnchor="text" w:hAnchor="text" w:xAlign="center" w:y="1"/>
              <w:tabs>
                <w:tab w:val="clear" w:pos="1134"/>
                <w:tab w:val="clear" w:pos="1871"/>
                <w:tab w:val="clear" w:pos="2268"/>
                <w:tab w:val="left" w:pos="576"/>
                <w:tab w:val="left" w:pos="792"/>
                <w:tab w:val="left" w:pos="1008"/>
                <w:tab w:val="left" w:pos="1224"/>
                <w:tab w:val="left" w:pos="1440"/>
                <w:tab w:val="left" w:pos="4366"/>
              </w:tabs>
              <w:overflowPunct/>
              <w:autoSpaceDE/>
              <w:autoSpaceDN/>
              <w:adjustRightInd/>
              <w:spacing w:before="0"/>
              <w:textAlignment w:val="auto"/>
              <w:rPr>
                <w:rFonts w:eastAsia="Calibri"/>
                <w:bCs/>
                <w:iCs/>
                <w:color w:val="000000"/>
                <w:szCs w:val="24"/>
                <w:lang w:val="en-US"/>
              </w:rPr>
            </w:pPr>
            <w:r w:rsidRPr="00D84F33">
              <w:rPr>
                <w:rFonts w:eastAsia="Calibri"/>
                <w:b/>
                <w:i/>
                <w:color w:val="000000"/>
                <w:szCs w:val="24"/>
                <w:lang w:val="en-US"/>
              </w:rPr>
              <w:t>Studies to be carried out by</w:t>
            </w:r>
            <w:r w:rsidRPr="00D84F33">
              <w:rPr>
                <w:rFonts w:eastAsia="Calibri"/>
                <w:b/>
                <w:bCs/>
                <w:i/>
                <w:iCs/>
                <w:color w:val="000000"/>
                <w:szCs w:val="24"/>
                <w:lang w:val="en-US"/>
              </w:rPr>
              <w:t xml:space="preserve">: </w:t>
            </w:r>
            <w:r w:rsidRPr="00D84F33">
              <w:rPr>
                <w:rFonts w:eastAsia="Calibri"/>
                <w:bCs/>
                <w:iCs/>
                <w:color w:val="000000"/>
                <w:szCs w:val="24"/>
                <w:lang w:val="en-US"/>
              </w:rPr>
              <w:t>ITU-R Study Group 4</w:t>
            </w:r>
          </w:p>
          <w:p w14:paraId="58C2FCD8" w14:textId="77777777" w:rsidR="00D84F33" w:rsidRPr="00D84F33" w:rsidRDefault="00D84F33" w:rsidP="00D84F33">
            <w:pPr>
              <w:framePr w:hSpace="181" w:wrap="notBeside" w:vAnchor="text" w:hAnchor="text" w:xAlign="center" w:y="1"/>
              <w:tabs>
                <w:tab w:val="clear" w:pos="1134"/>
                <w:tab w:val="clear" w:pos="1871"/>
                <w:tab w:val="clear" w:pos="2268"/>
                <w:tab w:val="left" w:pos="576"/>
                <w:tab w:val="left" w:pos="792"/>
                <w:tab w:val="left" w:pos="1008"/>
                <w:tab w:val="left" w:pos="1224"/>
                <w:tab w:val="left" w:pos="1440"/>
                <w:tab w:val="left" w:pos="4366"/>
              </w:tabs>
              <w:overflowPunct/>
              <w:autoSpaceDE/>
              <w:autoSpaceDN/>
              <w:adjustRightInd/>
              <w:spacing w:before="0"/>
              <w:textAlignment w:val="auto"/>
              <w:rPr>
                <w:rFonts w:eastAsia="Calibri"/>
                <w:b/>
                <w:bCs/>
                <w:i/>
                <w:iCs/>
                <w:color w:val="000000"/>
                <w:szCs w:val="24"/>
                <w:lang w:val="en-US"/>
              </w:rPr>
            </w:pPr>
          </w:p>
        </w:tc>
        <w:tc>
          <w:tcPr>
            <w:tcW w:w="5357" w:type="dxa"/>
            <w:tcBorders>
              <w:top w:val="nil"/>
              <w:left w:val="single" w:sz="12" w:space="0" w:color="auto"/>
              <w:bottom w:val="single" w:sz="12" w:space="0" w:color="auto"/>
              <w:right w:val="nil"/>
            </w:tcBorders>
          </w:tcPr>
          <w:p w14:paraId="4B6AC20F" w14:textId="77777777" w:rsidR="00D84F33" w:rsidRPr="00D84F33" w:rsidRDefault="00D84F33" w:rsidP="00D84F33">
            <w:pPr>
              <w:framePr w:hSpace="181" w:wrap="notBeside" w:vAnchor="text" w:hAnchor="text" w:xAlign="center" w:y="1"/>
              <w:tabs>
                <w:tab w:val="clear" w:pos="1134"/>
                <w:tab w:val="clear" w:pos="1871"/>
                <w:tab w:val="clear" w:pos="2268"/>
                <w:tab w:val="left" w:pos="360"/>
                <w:tab w:val="left" w:pos="576"/>
                <w:tab w:val="left" w:pos="792"/>
                <w:tab w:val="left" w:pos="900"/>
                <w:tab w:val="left" w:pos="1008"/>
                <w:tab w:val="left" w:pos="1224"/>
                <w:tab w:val="left" w:pos="1440"/>
                <w:tab w:val="left" w:pos="4366"/>
              </w:tabs>
              <w:overflowPunct/>
              <w:autoSpaceDE/>
              <w:autoSpaceDN/>
              <w:adjustRightInd/>
              <w:spacing w:before="0"/>
              <w:ind w:left="113"/>
              <w:textAlignment w:val="auto"/>
              <w:rPr>
                <w:rFonts w:eastAsia="Calibri"/>
                <w:bCs/>
                <w:i/>
                <w:color w:val="000000"/>
                <w:szCs w:val="24"/>
                <w:lang w:val="en-US"/>
              </w:rPr>
            </w:pPr>
            <w:r w:rsidRPr="00D84F33">
              <w:rPr>
                <w:rFonts w:eastAsia="Calibri"/>
                <w:bCs/>
                <w:i/>
                <w:color w:val="000000"/>
                <w:szCs w:val="24"/>
                <w:lang w:val="en-US"/>
              </w:rPr>
              <w:t xml:space="preserve">with the participation of: </w:t>
            </w:r>
          </w:p>
          <w:p w14:paraId="59A3A040" w14:textId="77777777" w:rsidR="00D84F33" w:rsidRPr="00D84F33" w:rsidRDefault="00D84F33" w:rsidP="00D84F33">
            <w:pPr>
              <w:framePr w:hSpace="181" w:wrap="notBeside" w:vAnchor="text" w:hAnchor="text" w:xAlign="center" w:y="1"/>
              <w:tabs>
                <w:tab w:val="clear" w:pos="1134"/>
                <w:tab w:val="clear" w:pos="1871"/>
                <w:tab w:val="clear" w:pos="2268"/>
                <w:tab w:val="left" w:pos="360"/>
                <w:tab w:val="left" w:pos="576"/>
                <w:tab w:val="left" w:pos="792"/>
                <w:tab w:val="left" w:pos="900"/>
                <w:tab w:val="left" w:pos="1008"/>
                <w:tab w:val="left" w:pos="1224"/>
                <w:tab w:val="left" w:pos="1440"/>
                <w:tab w:val="left" w:pos="4366"/>
              </w:tabs>
              <w:overflowPunct/>
              <w:autoSpaceDE/>
              <w:autoSpaceDN/>
              <w:adjustRightInd/>
              <w:spacing w:before="0"/>
              <w:ind w:left="113"/>
              <w:textAlignment w:val="auto"/>
              <w:rPr>
                <w:rFonts w:eastAsia="Calibri"/>
                <w:iCs/>
                <w:color w:val="000000"/>
                <w:szCs w:val="24"/>
                <w:lang w:val="en-US"/>
              </w:rPr>
            </w:pPr>
            <w:r w:rsidRPr="00D84F33">
              <w:rPr>
                <w:rFonts w:eastAsia="Calibri"/>
                <w:bCs/>
                <w:color w:val="000000"/>
                <w:szCs w:val="24"/>
                <w:lang w:val="en-US"/>
              </w:rPr>
              <w:t xml:space="preserve">SGs 5 and 7   </w:t>
            </w:r>
            <w:r w:rsidRPr="00D84F33">
              <w:rPr>
                <w:rFonts w:eastAsia="Calibri"/>
                <w:i/>
                <w:iCs/>
                <w:color w:val="000000"/>
                <w:szCs w:val="24"/>
                <w:lang w:val="en-US"/>
              </w:rPr>
              <w:t xml:space="preserve"> </w:t>
            </w:r>
          </w:p>
          <w:p w14:paraId="7547992E" w14:textId="77777777" w:rsidR="00D84F33" w:rsidRPr="00D84F33" w:rsidRDefault="00D84F33" w:rsidP="00D84F33">
            <w:pPr>
              <w:framePr w:hSpace="181" w:wrap="notBeside" w:vAnchor="text" w:hAnchor="text" w:xAlign="center" w:y="1"/>
              <w:tabs>
                <w:tab w:val="clear" w:pos="1134"/>
                <w:tab w:val="clear" w:pos="1871"/>
                <w:tab w:val="clear" w:pos="2268"/>
                <w:tab w:val="left" w:pos="360"/>
                <w:tab w:val="left" w:pos="576"/>
                <w:tab w:val="left" w:pos="792"/>
                <w:tab w:val="left" w:pos="900"/>
                <w:tab w:val="left" w:pos="1008"/>
                <w:tab w:val="left" w:pos="1224"/>
                <w:tab w:val="left" w:pos="1440"/>
                <w:tab w:val="left" w:pos="4366"/>
              </w:tabs>
              <w:overflowPunct/>
              <w:autoSpaceDE/>
              <w:autoSpaceDN/>
              <w:adjustRightInd/>
              <w:spacing w:before="0"/>
              <w:ind w:left="113"/>
              <w:textAlignment w:val="auto"/>
              <w:rPr>
                <w:rFonts w:eastAsia="Calibri"/>
                <w:b/>
                <w:bCs/>
                <w:iCs/>
                <w:color w:val="000000"/>
                <w:szCs w:val="24"/>
                <w:lang w:val="en-US"/>
              </w:rPr>
            </w:pPr>
          </w:p>
        </w:tc>
      </w:tr>
    </w:tbl>
    <w:p w14:paraId="7A011F45"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ascii="TimesNewRomanPSMT" w:eastAsia="Calibri" w:hAnsi="TimesNewRomanPSMT" w:cs="TimesNewRomanPSMT"/>
          <w:szCs w:val="24"/>
          <w:lang w:val="en-US"/>
        </w:rPr>
      </w:pPr>
      <w:r w:rsidRPr="00D84F33">
        <w:rPr>
          <w:rFonts w:eastAsia="Calibri"/>
          <w:b/>
          <w:bCs/>
          <w:i/>
          <w:iCs/>
          <w:szCs w:val="24"/>
          <w:lang w:val="en-US"/>
        </w:rPr>
        <w:t xml:space="preserve">ITU-R Study Groups concerned: </w:t>
      </w:r>
      <w:r w:rsidRPr="00D84F33">
        <w:rPr>
          <w:rFonts w:ascii="TimesNewRomanPSMT" w:eastAsia="Calibri" w:hAnsi="TimesNewRomanPSMT" w:cs="TimesNewRomanPSMT"/>
          <w:szCs w:val="24"/>
          <w:lang w:val="en-US"/>
        </w:rPr>
        <w:t>SG 5 and SG 7</w:t>
      </w:r>
    </w:p>
    <w:p w14:paraId="18199EB1" w14:textId="77777777" w:rsidR="00D84F33" w:rsidRPr="00D84F33" w:rsidRDefault="00D84F33" w:rsidP="00D84F33">
      <w:pPr>
        <w:pBdr>
          <w:bottom w:val="single" w:sz="12" w:space="1" w:color="auto"/>
        </w:pBdr>
        <w:tabs>
          <w:tab w:val="clear" w:pos="1134"/>
          <w:tab w:val="clear" w:pos="1871"/>
          <w:tab w:val="clear" w:pos="2268"/>
          <w:tab w:val="left" w:pos="576"/>
          <w:tab w:val="left" w:pos="794"/>
          <w:tab w:val="left" w:pos="1008"/>
          <w:tab w:val="left" w:pos="1191"/>
          <w:tab w:val="left" w:pos="1224"/>
          <w:tab w:val="left" w:pos="1440"/>
          <w:tab w:val="left" w:pos="1588"/>
          <w:tab w:val="left" w:pos="1985"/>
        </w:tabs>
        <w:overflowPunct/>
        <w:autoSpaceDE/>
        <w:autoSpaceDN/>
        <w:adjustRightInd/>
        <w:spacing w:before="0"/>
        <w:textAlignment w:val="auto"/>
        <w:rPr>
          <w:rFonts w:eastAsia="Calibri"/>
          <w:color w:val="000000"/>
          <w:szCs w:val="24"/>
          <w:lang w:val="en-US"/>
        </w:rPr>
      </w:pPr>
    </w:p>
    <w:p w14:paraId="29E9B342"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ascii="TimesNewRomanPSMT" w:eastAsia="Calibri" w:hAnsi="TimesNewRomanPSMT" w:cs="TimesNewRomanPSMT"/>
          <w:szCs w:val="24"/>
          <w:lang w:val="en-US"/>
        </w:rPr>
      </w:pPr>
      <w:r w:rsidRPr="00D84F33">
        <w:rPr>
          <w:rFonts w:eastAsia="Calibri"/>
          <w:b/>
          <w:bCs/>
          <w:i/>
          <w:iCs/>
          <w:szCs w:val="24"/>
          <w:lang w:val="en-US"/>
        </w:rPr>
        <w:t>ITU resource implications, including financial implications (refer to CV126):</w:t>
      </w:r>
      <w:r w:rsidRPr="00D84F33">
        <w:rPr>
          <w:rFonts w:ascii="TimesNewRomanPSMT" w:eastAsia="Calibri" w:hAnsi="TimesNewRomanPSMT" w:cs="TimesNewRomanPSMT"/>
          <w:szCs w:val="24"/>
          <w:lang w:val="en-US"/>
        </w:rPr>
        <w:t xml:space="preserve">  Minimal</w:t>
      </w:r>
    </w:p>
    <w:p w14:paraId="058EC558" w14:textId="77777777" w:rsidR="00D84F33" w:rsidRPr="00D84F33" w:rsidRDefault="00D84F33" w:rsidP="00D84F33">
      <w:pPr>
        <w:pBdr>
          <w:bottom w:val="single" w:sz="12" w:space="1" w:color="auto"/>
        </w:pBdr>
        <w:tabs>
          <w:tab w:val="clear" w:pos="1134"/>
          <w:tab w:val="clear" w:pos="1871"/>
          <w:tab w:val="clear" w:pos="2268"/>
          <w:tab w:val="left" w:pos="576"/>
          <w:tab w:val="left" w:pos="794"/>
          <w:tab w:val="left" w:pos="1008"/>
          <w:tab w:val="left" w:pos="1191"/>
          <w:tab w:val="left" w:pos="1224"/>
          <w:tab w:val="left" w:pos="1440"/>
          <w:tab w:val="left" w:pos="1588"/>
          <w:tab w:val="left" w:pos="1985"/>
        </w:tabs>
        <w:overflowPunct/>
        <w:autoSpaceDE/>
        <w:autoSpaceDN/>
        <w:adjustRightInd/>
        <w:spacing w:before="0"/>
        <w:textAlignment w:val="auto"/>
        <w:rPr>
          <w:rFonts w:eastAsia="Calibri"/>
          <w:color w:val="000000"/>
          <w:szCs w:val="24"/>
          <w:lang w:val="en-US"/>
        </w:rPr>
      </w:pPr>
    </w:p>
    <w:p w14:paraId="513576B1"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ascii="TimesNewRomanPSMT" w:eastAsia="Calibri" w:hAnsi="TimesNewRomanPSMT" w:cs="TimesNewRomanPSMT"/>
          <w:szCs w:val="24"/>
          <w:lang w:val="en-US"/>
        </w:rPr>
      </w:pPr>
      <w:r w:rsidRPr="00D84F33">
        <w:rPr>
          <w:rFonts w:eastAsia="Calibri"/>
          <w:b/>
          <w:bCs/>
          <w:i/>
          <w:iCs/>
          <w:szCs w:val="24"/>
          <w:lang w:val="en-US"/>
        </w:rPr>
        <w:lastRenderedPageBreak/>
        <w:t xml:space="preserve">Common regional proposal: </w:t>
      </w:r>
      <w:r w:rsidRPr="00D84F33">
        <w:rPr>
          <w:rFonts w:ascii="TimesNewRomanPSMT" w:eastAsia="Calibri" w:hAnsi="TimesNewRomanPSMT" w:cs="TimesNewRomanPSMT"/>
          <w:szCs w:val="24"/>
          <w:lang w:val="en-US"/>
        </w:rPr>
        <w:t xml:space="preserve">Yes/No </w:t>
      </w:r>
      <w:r w:rsidRPr="00D84F33">
        <w:rPr>
          <w:rFonts w:ascii="TimesNewRomanPSMT" w:eastAsia="Calibri" w:hAnsi="TimesNewRomanPSMT" w:cs="TimesNewRomanPSMT"/>
          <w:szCs w:val="24"/>
          <w:lang w:val="en-US"/>
        </w:rPr>
        <w:tab/>
      </w:r>
      <w:r w:rsidRPr="00D84F33">
        <w:rPr>
          <w:rFonts w:ascii="TimesNewRomanPSMT" w:eastAsia="Calibri" w:hAnsi="TimesNewRomanPSMT" w:cs="TimesNewRomanPSMT"/>
          <w:szCs w:val="24"/>
          <w:lang w:val="en-US"/>
        </w:rPr>
        <w:tab/>
      </w:r>
      <w:r w:rsidRPr="00D84F33">
        <w:rPr>
          <w:rFonts w:eastAsia="Calibri"/>
          <w:b/>
          <w:bCs/>
          <w:i/>
          <w:iCs/>
          <w:szCs w:val="24"/>
          <w:lang w:val="en-US"/>
        </w:rPr>
        <w:t xml:space="preserve">Multicountry proposal: </w:t>
      </w:r>
      <w:r w:rsidRPr="00D84F33">
        <w:rPr>
          <w:rFonts w:ascii="TimesNewRomanPSMT" w:eastAsia="Calibri" w:hAnsi="TimesNewRomanPSMT" w:cs="TimesNewRomanPSMT"/>
          <w:szCs w:val="24"/>
          <w:lang w:val="en-US"/>
        </w:rPr>
        <w:t>Yes/No</w:t>
      </w:r>
    </w:p>
    <w:p w14:paraId="0B174736"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ind w:firstLine="720"/>
        <w:textAlignment w:val="auto"/>
        <w:rPr>
          <w:rFonts w:ascii="TimesNewRomanPS-ItalicMT" w:eastAsia="Calibri" w:hAnsi="TimesNewRomanPS-ItalicMT" w:cs="TimesNewRomanPS-ItalicMT"/>
          <w:i/>
          <w:iCs/>
          <w:szCs w:val="24"/>
          <w:lang w:val="en-US"/>
        </w:rPr>
      </w:pPr>
      <w:r w:rsidRPr="00D84F33">
        <w:rPr>
          <w:rFonts w:ascii="TimesNewRomanPS-ItalicMT" w:eastAsia="Calibri" w:hAnsi="TimesNewRomanPS-ItalicMT" w:cs="TimesNewRomanPS-ItalicMT"/>
          <w:i/>
          <w:iCs/>
          <w:szCs w:val="24"/>
          <w:lang w:val="en-US"/>
        </w:rPr>
        <w:t>Number of countries:</w:t>
      </w:r>
    </w:p>
    <w:p w14:paraId="17138D1B" w14:textId="77777777" w:rsidR="00D84F33" w:rsidRPr="00D84F33" w:rsidRDefault="00D84F33" w:rsidP="00D84F33">
      <w:pPr>
        <w:pBdr>
          <w:bottom w:val="single" w:sz="12" w:space="1" w:color="auto"/>
        </w:pBdr>
        <w:tabs>
          <w:tab w:val="clear" w:pos="1134"/>
          <w:tab w:val="clear" w:pos="1871"/>
          <w:tab w:val="clear" w:pos="2268"/>
          <w:tab w:val="left" w:pos="576"/>
          <w:tab w:val="left" w:pos="794"/>
          <w:tab w:val="left" w:pos="1008"/>
          <w:tab w:val="left" w:pos="1191"/>
          <w:tab w:val="left" w:pos="1224"/>
          <w:tab w:val="left" w:pos="1440"/>
          <w:tab w:val="left" w:pos="1588"/>
          <w:tab w:val="left" w:pos="1985"/>
        </w:tabs>
        <w:overflowPunct/>
        <w:autoSpaceDE/>
        <w:autoSpaceDN/>
        <w:adjustRightInd/>
        <w:spacing w:before="0"/>
        <w:textAlignment w:val="auto"/>
        <w:rPr>
          <w:rFonts w:eastAsia="Calibri"/>
          <w:color w:val="000000"/>
          <w:szCs w:val="24"/>
          <w:lang w:val="en-US"/>
        </w:rPr>
      </w:pPr>
    </w:p>
    <w:p w14:paraId="6418F7E8" w14:textId="77777777" w:rsidR="00D84F33" w:rsidRPr="00D84F33" w:rsidRDefault="00D84F33" w:rsidP="00D84F3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eastAsia="Calibri"/>
          <w:szCs w:val="22"/>
          <w:lang w:val="en-US"/>
        </w:rPr>
      </w:pPr>
      <w:r w:rsidRPr="00D84F33">
        <w:rPr>
          <w:rFonts w:eastAsia="Calibri"/>
          <w:b/>
          <w:bCs/>
          <w:i/>
          <w:iCs/>
          <w:szCs w:val="24"/>
          <w:lang w:val="en-US"/>
        </w:rPr>
        <w:t>Remarks</w:t>
      </w:r>
    </w:p>
    <w:p w14:paraId="36BEA5CC" w14:textId="77777777" w:rsidR="00814543" w:rsidRDefault="00814543" w:rsidP="00DE7E2C">
      <w:pPr>
        <w:pStyle w:val="ResNo"/>
      </w:pPr>
    </w:p>
    <w:sectPr w:rsidR="00814543">
      <w:headerReference w:type="default" r:id="rId13"/>
      <w:footerReference w:type="even" r:id="rId14"/>
      <w:footerReference w:type="default" r:id="rId15"/>
      <w:headerReference w:type="first" r:id="rId16"/>
      <w:footerReference w:type="first" r:id="rId17"/>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6C480" w14:textId="77777777" w:rsidR="0074585C" w:rsidRDefault="0074585C">
      <w:r>
        <w:separator/>
      </w:r>
    </w:p>
  </w:endnote>
  <w:endnote w:type="continuationSeparator" w:id="0">
    <w:p w14:paraId="1085C989" w14:textId="77777777" w:rsidR="0074585C" w:rsidRDefault="0074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ItalicMT">
    <w:altName w:val="Times New Roman"/>
    <w:charset w:val="00"/>
    <w:family w:val="roman"/>
    <w:pitch w:val="variable"/>
    <w:sig w:usb0="E0000AFF" w:usb1="00007843" w:usb2="00000001" w:usb3="00000000" w:csb0="000001BF" w:csb1="00000000"/>
  </w:font>
  <w:font w:name="Times">
    <w:altName w:val="Times New Roman"/>
    <w:panose1 w:val="02020603050405020304"/>
    <w:charset w:val="4D"/>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0"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ZapfHumnst BT">
    <w:altName w:val="Century Gothic"/>
    <w:charset w:val="00"/>
    <w:family w:val="swiss"/>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1FDE1" w14:textId="77777777" w:rsidR="00B97FBB" w:rsidRDefault="00B97FBB">
    <w:pPr>
      <w:framePr w:wrap="around" w:vAnchor="text" w:hAnchor="margin" w:xAlign="right" w:y="1"/>
    </w:pPr>
    <w:r>
      <w:fldChar w:fldCharType="begin"/>
    </w:r>
    <w:r>
      <w:instrText xml:space="preserve">PAGE  </w:instrText>
    </w:r>
    <w:r>
      <w:fldChar w:fldCharType="end"/>
    </w:r>
  </w:p>
  <w:p w14:paraId="1F15836C" w14:textId="60E1257A" w:rsidR="00B97FBB" w:rsidRPr="0041348E" w:rsidRDefault="00B97FBB">
    <w:pPr>
      <w:ind w:right="360"/>
      <w:rPr>
        <w:lang w:val="en-US"/>
      </w:rPr>
    </w:pPr>
    <w:r>
      <w:fldChar w:fldCharType="begin"/>
    </w:r>
    <w:r w:rsidRPr="0041348E">
      <w:rPr>
        <w:lang w:val="en-US"/>
      </w:rPr>
      <w:instrText xml:space="preserve"> FILENAME \p  \* MERGEFORMAT </w:instrText>
    </w:r>
    <w:r>
      <w:fldChar w:fldCharType="separate"/>
    </w:r>
    <w:r>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6C0110">
      <w:rPr>
        <w:noProof/>
      </w:rPr>
      <w:t>26.07.19</w:t>
    </w:r>
    <w:r>
      <w:fldChar w:fldCharType="end"/>
    </w:r>
    <w:r w:rsidRPr="0041348E">
      <w:rPr>
        <w:lang w:val="en-US"/>
      </w:rPr>
      <w:tab/>
    </w:r>
    <w:r>
      <w:fldChar w:fldCharType="begin"/>
    </w:r>
    <w:r>
      <w:instrText xml:space="preserve"> PRINTDATE \@ DD.MM.YY </w:instrText>
    </w:r>
    <w:r>
      <w:fldChar w:fldCharType="separate"/>
    </w:r>
    <w:r>
      <w:rPr>
        <w:noProof/>
      </w:rPr>
      <w:t>10.02.14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1DE2D" w14:textId="77777777" w:rsidR="00B97FBB" w:rsidRDefault="00B97FBB" w:rsidP="00A30305">
    <w:pPr>
      <w:pStyle w:val="Footer"/>
    </w:pPr>
    <w:r w:rsidRPr="0041348E">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1DD56" w14:textId="2A46940B" w:rsidR="00B97FBB" w:rsidRPr="0041348E" w:rsidRDefault="00B97FBB"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6C0110">
      <w:t>26.07.19</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7998D" w14:textId="77777777" w:rsidR="0074585C" w:rsidRDefault="0074585C">
      <w:r>
        <w:rPr>
          <w:b/>
        </w:rPr>
        <w:t>_______________</w:t>
      </w:r>
    </w:p>
  </w:footnote>
  <w:footnote w:type="continuationSeparator" w:id="0">
    <w:p w14:paraId="57FB8970" w14:textId="77777777" w:rsidR="0074585C" w:rsidRDefault="00745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A1C98" w14:textId="181F462A" w:rsidR="00B97FBB" w:rsidRDefault="00B97FBB" w:rsidP="00187BD9">
    <w:pPr>
      <w:pStyle w:val="Header"/>
    </w:pPr>
    <w:r>
      <w:fldChar w:fldCharType="begin"/>
    </w:r>
    <w:r>
      <w:instrText xml:space="preserve"> PAGE  \* MERGEFORMAT </w:instrText>
    </w:r>
    <w:r>
      <w:fldChar w:fldCharType="separate"/>
    </w:r>
    <w:r w:rsidR="00A259D0">
      <w:rPr>
        <w:noProof/>
      </w:rPr>
      <w:t>13</w:t>
    </w:r>
    <w:r>
      <w:fldChar w:fldCharType="end"/>
    </w:r>
  </w:p>
  <w:p w14:paraId="09A7A31A" w14:textId="297C923A" w:rsidR="00B97FBB" w:rsidRPr="00A066F1" w:rsidRDefault="00B97FBB" w:rsidP="00241FA2">
    <w:pPr>
      <w:pStyle w:val="Header"/>
    </w:pPr>
    <w:r>
      <w:t>CMR19/</w:t>
    </w:r>
    <w:bookmarkStart w:id="14" w:name="OLE_LINK1"/>
    <w:bookmarkStart w:id="15" w:name="OLE_LINK2"/>
    <w:bookmarkStart w:id="16" w:name="OLE_LINK3"/>
    <w:bookmarkEnd w:id="14"/>
    <w:bookmarkEnd w:id="15"/>
    <w:bookmarkEnd w:id="16"/>
    <w:r>
      <w:t>-</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B97FBB" w:rsidRPr="00DF6653" w14:paraId="28CA8C90" w14:textId="77777777" w:rsidTr="0056483D">
      <w:trPr>
        <w:cantSplit/>
        <w:trHeight w:val="1629"/>
      </w:trPr>
      <w:tc>
        <w:tcPr>
          <w:tcW w:w="1440" w:type="dxa"/>
        </w:tcPr>
        <w:p w14:paraId="2FD23312" w14:textId="77777777" w:rsidR="00B97FBB" w:rsidRDefault="00B97FBB" w:rsidP="00FF5DD6">
          <w:pPr>
            <w:rPr>
              <w:rFonts w:ascii="ZapfHumnst BT" w:hAnsi="ZapfHumnst BT"/>
            </w:rPr>
          </w:pPr>
          <w:r>
            <w:rPr>
              <w:noProof/>
              <w:lang w:val="en-US"/>
            </w:rPr>
            <w:drawing>
              <wp:anchor distT="0" distB="0" distL="114300" distR="114300" simplePos="0" relativeHeight="251660288" behindDoc="0" locked="0" layoutInCell="1" allowOverlap="1" wp14:anchorId="46A5FF85" wp14:editId="69485E44">
                <wp:simplePos x="0" y="0"/>
                <wp:positionH relativeFrom="page">
                  <wp:posOffset>51435</wp:posOffset>
                </wp:positionH>
                <wp:positionV relativeFrom="page">
                  <wp:posOffset>88265</wp:posOffset>
                </wp:positionV>
                <wp:extent cx="821055" cy="822960"/>
                <wp:effectExtent l="0" t="0" r="0" b="0"/>
                <wp:wrapTopAndBottom/>
                <wp:docPr id="6" name="Picture 1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9264" behindDoc="0" locked="0" layoutInCell="0" allowOverlap="1" wp14:anchorId="18554573" wp14:editId="1A561217">
                    <wp:simplePos x="0" y="0"/>
                    <wp:positionH relativeFrom="column">
                      <wp:posOffset>1062990</wp:posOffset>
                    </wp:positionH>
                    <wp:positionV relativeFrom="paragraph">
                      <wp:posOffset>8478520</wp:posOffset>
                    </wp:positionV>
                    <wp:extent cx="21590" cy="1460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cap="flat">
                                  <a:solidFill>
                                    <a:srgbClr val="000000"/>
                                  </a:solidFill>
                                  <a:round/>
                                  <a:headEnd type="none" w="med" len="med"/>
                                  <a:tailEnd type="none" w="med" len="me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5014F" id="Freeform 2"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" o:allowincell="f" path="m20000,9565l18235,4348,13529,,4706,,1765,4348,,9565r1765,5218l4706,20000r8823,l18235,14783,20000,9565xe" stroked="f">
                    <v:path arrowok="t" o:connecttype="custom" o:connectlocs="21590,6985;19685,3175;14605,0;5080,0;1905,3175;0,6985;1905,10795;5080,14605;14605,14605;19685,10795;21590,6985" o:connectangles="0,0,0,0,0,0,0,0,0,0,0"/>
                  </v:shape>
                </w:pict>
              </mc:Fallback>
            </mc:AlternateContent>
          </w:r>
          <w:r>
            <w:rPr>
              <w:noProof/>
              <w:lang w:val="en-US"/>
            </w:rPr>
            <mc:AlternateContent>
              <mc:Choice Requires="wps">
                <w:drawing>
                  <wp:anchor distT="0" distB="0" distL="114300" distR="114300" simplePos="0" relativeHeight="251658240" behindDoc="0" locked="0" layoutInCell="0" allowOverlap="1" wp14:anchorId="7300B081" wp14:editId="7C802EE2">
                    <wp:simplePos x="0" y="0"/>
                    <wp:positionH relativeFrom="column">
                      <wp:posOffset>723900</wp:posOffset>
                    </wp:positionH>
                    <wp:positionV relativeFrom="paragraph">
                      <wp:posOffset>9285605</wp:posOffset>
                    </wp:positionV>
                    <wp:extent cx="31750" cy="2286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37912" id="Rectangle 8"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" o:allowincell="f" stroked="f"/>
                </w:pict>
              </mc:Fallback>
            </mc:AlternateContent>
          </w:r>
          <w:r>
            <w:rPr>
              <w:noProof/>
              <w:lang w:val="en-US"/>
            </w:rPr>
            <mc:AlternateContent>
              <mc:Choice Requires="wps">
                <w:drawing>
                  <wp:anchor distT="0" distB="0" distL="114300" distR="114300" simplePos="0" relativeHeight="251657216" behindDoc="0" locked="0" layoutInCell="0" allowOverlap="1" wp14:anchorId="5C939534" wp14:editId="24CFC488">
                    <wp:simplePos x="0" y="0"/>
                    <wp:positionH relativeFrom="column">
                      <wp:posOffset>723900</wp:posOffset>
                    </wp:positionH>
                    <wp:positionV relativeFrom="paragraph">
                      <wp:posOffset>9262110</wp:posOffset>
                    </wp:positionV>
                    <wp:extent cx="31750" cy="1651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51DB3" id="Rectangle 9"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" o:allowincell="f" stroked="f"/>
                </w:pict>
              </mc:Fallback>
            </mc:AlternateContent>
          </w:r>
          <w:r>
            <w:rPr>
              <w:noProof/>
              <w:lang w:val="en-US"/>
            </w:rPr>
            <mc:AlternateContent>
              <mc:Choice Requires="wps">
                <w:drawing>
                  <wp:anchor distT="0" distB="0" distL="114300" distR="114300" simplePos="0" relativeHeight="251656192" behindDoc="0" locked="0" layoutInCell="0" allowOverlap="1" wp14:anchorId="51B36AAD" wp14:editId="6B103D72">
                    <wp:simplePos x="0" y="0"/>
                    <wp:positionH relativeFrom="column">
                      <wp:posOffset>373380</wp:posOffset>
                    </wp:positionH>
                    <wp:positionV relativeFrom="paragraph">
                      <wp:posOffset>8478520</wp:posOffset>
                    </wp:positionV>
                    <wp:extent cx="50165" cy="46355"/>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cap="flat">
                                  <a:solidFill>
                                    <a:srgbClr val="000000"/>
                                  </a:solidFill>
                                  <a:round/>
                                  <a:headEnd type="none" w="med" len="med"/>
                                  <a:tailEnd type="none" w="med" len="me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3E2F6" id="Freeform 3"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" o:allowincell="f" path="m20000,9863l19241,6849,17975,3836,15696,1370,12911,,7089,,4304,1370,2025,3836,759,6849,,9863r759,3288l2025,16164r2279,2192l7089,20000r5822,l15696,18356r2279,-2192l19241,13151r759,-3288xe" stroked="f">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lang w:val="en-US"/>
            </w:rPr>
            <mc:AlternateContent>
              <mc:Choice Requires="wps">
                <w:drawing>
                  <wp:anchor distT="0" distB="0" distL="114300" distR="114300" simplePos="0" relativeHeight="251655168" behindDoc="0" locked="0" layoutInCell="0" allowOverlap="1" wp14:anchorId="69122D02" wp14:editId="79558375">
                    <wp:simplePos x="0" y="0"/>
                    <wp:positionH relativeFrom="column">
                      <wp:posOffset>335915</wp:posOffset>
                    </wp:positionH>
                    <wp:positionV relativeFrom="paragraph">
                      <wp:posOffset>8841105</wp:posOffset>
                    </wp:positionV>
                    <wp:extent cx="186055" cy="37655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2B3F2" id="Rectangle 1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" o:allowincell="f" stroked="f"/>
                </w:pict>
              </mc:Fallback>
            </mc:AlternateContent>
          </w:r>
        </w:p>
      </w:tc>
      <w:tc>
        <w:tcPr>
          <w:tcW w:w="8730" w:type="dxa"/>
          <w:tcBorders>
            <w:bottom w:val="single" w:sz="18" w:space="0" w:color="auto"/>
          </w:tcBorders>
        </w:tcPr>
        <w:p w14:paraId="2DFDF6FB" w14:textId="77777777" w:rsidR="00B97FBB" w:rsidRPr="00DF6653" w:rsidRDefault="00B97FBB" w:rsidP="00FF5DD6">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14:paraId="02F8D2EE" w14:textId="77777777" w:rsidR="00B97FBB" w:rsidRPr="00DF6653" w:rsidRDefault="00B97FBB" w:rsidP="00FF5DD6">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lang w:val="es-ES"/>
            </w:rPr>
            <w:t xml:space="preserve"> </w:t>
          </w:r>
        </w:p>
        <w:p w14:paraId="1EC09C7A" w14:textId="77777777" w:rsidR="00B97FBB" w:rsidRPr="00DF6653" w:rsidRDefault="00B97FBB" w:rsidP="00FF5DD6">
          <w:pPr>
            <w:tabs>
              <w:tab w:val="left" w:pos="8300"/>
            </w:tabs>
            <w:ind w:right="200"/>
            <w:jc w:val="right"/>
            <w:rPr>
              <w:rFonts w:ascii="ZapfHumnst BT" w:hAnsi="ZapfHumnst BT"/>
              <w:b/>
              <w:lang w:val="es-ES"/>
            </w:rPr>
          </w:pPr>
        </w:p>
        <w:p w14:paraId="5E3FA7A6" w14:textId="77777777" w:rsidR="00B97FBB" w:rsidRPr="00DF6653" w:rsidRDefault="00B97FBB" w:rsidP="00FF5DD6">
          <w:pPr>
            <w:tabs>
              <w:tab w:val="left" w:pos="8300"/>
            </w:tabs>
            <w:ind w:right="200"/>
            <w:jc w:val="right"/>
            <w:rPr>
              <w:rFonts w:ascii="ZapfHumnst BT" w:hAnsi="ZapfHumnst BT"/>
              <w:b/>
              <w:sz w:val="25"/>
              <w:lang w:val="es-ES"/>
            </w:rPr>
          </w:pPr>
          <w:r w:rsidRPr="00DF6653">
            <w:rPr>
              <w:rFonts w:ascii="ZapfHumnst BT" w:hAnsi="ZapfHumnst BT"/>
              <w:b/>
              <w:lang w:val="es-ES"/>
            </w:rPr>
            <w:t>Comisión Interamericana de Telecomunicaciones</w:t>
          </w:r>
        </w:p>
        <w:p w14:paraId="4B0F660B" w14:textId="77777777" w:rsidR="00B97FBB" w:rsidRPr="00DF6653" w:rsidRDefault="00B97FBB" w:rsidP="00FF5DD6">
          <w:pPr>
            <w:tabs>
              <w:tab w:val="left" w:pos="8300"/>
            </w:tabs>
            <w:ind w:right="200"/>
            <w:jc w:val="right"/>
            <w:rPr>
              <w:rFonts w:ascii="ZapfHumnst BT" w:hAnsi="ZapfHumnst BT"/>
              <w:b/>
              <w:sz w:val="28"/>
              <w:lang w:val="es-ES"/>
            </w:rPr>
          </w:pPr>
          <w:r w:rsidRPr="00DF6653">
            <w:rPr>
              <w:rFonts w:ascii="ZapfHumnst BT" w:hAnsi="ZapfHumnst BT"/>
              <w:b/>
              <w:lang w:val="es-ES"/>
            </w:rPr>
            <w:t>Inter-American Telecommunication Commission</w:t>
          </w:r>
        </w:p>
      </w:tc>
    </w:tr>
  </w:tbl>
  <w:p w14:paraId="7D7F3E9C" w14:textId="77777777" w:rsidR="00B97FBB" w:rsidRPr="00FF5DD6" w:rsidRDefault="00B97FBB" w:rsidP="00FF5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AA6F3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EF3B4E"/>
    <w:multiLevelType w:val="hybridMultilevel"/>
    <w:tmpl w:val="94F898D8"/>
    <w:lvl w:ilvl="0" w:tplc="04090017">
      <w:start w:val="1"/>
      <w:numFmt w:val="lowerLetter"/>
      <w:lvlText w:val="%1)"/>
      <w:lvlJc w:val="left"/>
      <w:pPr>
        <w:ind w:left="1140" w:hanging="420"/>
      </w:pPr>
      <w:rPr>
        <w:rFonts w:hint="default"/>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5F7726C"/>
    <w:multiLevelType w:val="hybridMultilevel"/>
    <w:tmpl w:val="CDF4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10DA5"/>
    <w:multiLevelType w:val="hybridMultilevel"/>
    <w:tmpl w:val="2546391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102067"/>
    <w:multiLevelType w:val="hybridMultilevel"/>
    <w:tmpl w:val="07384E5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27BD467A"/>
    <w:multiLevelType w:val="hybridMultilevel"/>
    <w:tmpl w:val="CFB62934"/>
    <w:lvl w:ilvl="0" w:tplc="04090001">
      <w:start w:val="1"/>
      <w:numFmt w:val="bullet"/>
      <w:lvlText w:val=""/>
      <w:lvlJc w:val="left"/>
      <w:pPr>
        <w:ind w:left="1851" w:hanging="360"/>
      </w:pPr>
      <w:rPr>
        <w:rFonts w:ascii="Symbol" w:hAnsi="Symbol" w:hint="default"/>
      </w:rPr>
    </w:lvl>
    <w:lvl w:ilvl="1" w:tplc="04090003" w:tentative="1">
      <w:start w:val="1"/>
      <w:numFmt w:val="bullet"/>
      <w:lvlText w:val="o"/>
      <w:lvlJc w:val="left"/>
      <w:pPr>
        <w:ind w:left="2571" w:hanging="360"/>
      </w:pPr>
      <w:rPr>
        <w:rFonts w:ascii="Courier New" w:hAnsi="Courier New" w:cs="Courier New" w:hint="default"/>
      </w:rPr>
    </w:lvl>
    <w:lvl w:ilvl="2" w:tplc="04090005" w:tentative="1">
      <w:start w:val="1"/>
      <w:numFmt w:val="bullet"/>
      <w:lvlText w:val=""/>
      <w:lvlJc w:val="left"/>
      <w:pPr>
        <w:ind w:left="3291" w:hanging="360"/>
      </w:pPr>
      <w:rPr>
        <w:rFonts w:ascii="Wingdings" w:hAnsi="Wingdings" w:hint="default"/>
      </w:rPr>
    </w:lvl>
    <w:lvl w:ilvl="3" w:tplc="04090001" w:tentative="1">
      <w:start w:val="1"/>
      <w:numFmt w:val="bullet"/>
      <w:lvlText w:val=""/>
      <w:lvlJc w:val="left"/>
      <w:pPr>
        <w:ind w:left="4011" w:hanging="360"/>
      </w:pPr>
      <w:rPr>
        <w:rFonts w:ascii="Symbol" w:hAnsi="Symbol" w:hint="default"/>
      </w:rPr>
    </w:lvl>
    <w:lvl w:ilvl="4" w:tplc="04090003" w:tentative="1">
      <w:start w:val="1"/>
      <w:numFmt w:val="bullet"/>
      <w:lvlText w:val="o"/>
      <w:lvlJc w:val="left"/>
      <w:pPr>
        <w:ind w:left="4731" w:hanging="360"/>
      </w:pPr>
      <w:rPr>
        <w:rFonts w:ascii="Courier New" w:hAnsi="Courier New" w:cs="Courier New" w:hint="default"/>
      </w:rPr>
    </w:lvl>
    <w:lvl w:ilvl="5" w:tplc="04090005" w:tentative="1">
      <w:start w:val="1"/>
      <w:numFmt w:val="bullet"/>
      <w:lvlText w:val=""/>
      <w:lvlJc w:val="left"/>
      <w:pPr>
        <w:ind w:left="5451" w:hanging="360"/>
      </w:pPr>
      <w:rPr>
        <w:rFonts w:ascii="Wingdings" w:hAnsi="Wingdings" w:hint="default"/>
      </w:rPr>
    </w:lvl>
    <w:lvl w:ilvl="6" w:tplc="04090001" w:tentative="1">
      <w:start w:val="1"/>
      <w:numFmt w:val="bullet"/>
      <w:lvlText w:val=""/>
      <w:lvlJc w:val="left"/>
      <w:pPr>
        <w:ind w:left="6171" w:hanging="360"/>
      </w:pPr>
      <w:rPr>
        <w:rFonts w:ascii="Symbol" w:hAnsi="Symbol" w:hint="default"/>
      </w:rPr>
    </w:lvl>
    <w:lvl w:ilvl="7" w:tplc="04090003" w:tentative="1">
      <w:start w:val="1"/>
      <w:numFmt w:val="bullet"/>
      <w:lvlText w:val="o"/>
      <w:lvlJc w:val="left"/>
      <w:pPr>
        <w:ind w:left="6891" w:hanging="360"/>
      </w:pPr>
      <w:rPr>
        <w:rFonts w:ascii="Courier New" w:hAnsi="Courier New" w:cs="Courier New" w:hint="default"/>
      </w:rPr>
    </w:lvl>
    <w:lvl w:ilvl="8" w:tplc="04090005" w:tentative="1">
      <w:start w:val="1"/>
      <w:numFmt w:val="bullet"/>
      <w:lvlText w:val=""/>
      <w:lvlJc w:val="left"/>
      <w:pPr>
        <w:ind w:left="7611" w:hanging="360"/>
      </w:pPr>
      <w:rPr>
        <w:rFonts w:ascii="Wingdings" w:hAnsi="Wingdings" w:hint="default"/>
      </w:rPr>
    </w:lvl>
  </w:abstractNum>
  <w:abstractNum w:abstractNumId="10" w15:restartNumberingAfterBreak="0">
    <w:nsid w:val="34585AFB"/>
    <w:multiLevelType w:val="hybridMultilevel"/>
    <w:tmpl w:val="51EC42A8"/>
    <w:lvl w:ilvl="0" w:tplc="AD8ED6A6">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6573C2"/>
    <w:multiLevelType w:val="hybridMultilevel"/>
    <w:tmpl w:val="614038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0A06D1F"/>
    <w:multiLevelType w:val="hybridMultilevel"/>
    <w:tmpl w:val="582E492E"/>
    <w:lvl w:ilvl="0" w:tplc="A5D2D636">
      <w:start w:val="1"/>
      <w:numFmt w:val="decimal"/>
      <w:lvlText w:val="%1"/>
      <w:lvlJc w:val="left"/>
      <w:pPr>
        <w:ind w:left="1200" w:hanging="480"/>
      </w:pPr>
      <w:rPr>
        <w:rFonts w:ascii="TimesNewRomanPS-ItalicMT" w:hAnsi="TimesNewRomanPS-ItalicMT" w:cs="TimesNewRomanPS-ItalicMT" w:hint="default"/>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7F22BD"/>
    <w:multiLevelType w:val="multilevel"/>
    <w:tmpl w:val="74F0A25E"/>
    <w:lvl w:ilvl="0">
      <w:start w:val="4"/>
      <w:numFmt w:val="decimal"/>
      <w:lvlText w:val="%1"/>
      <w:lvlJc w:val="left"/>
      <w:pPr>
        <w:ind w:left="1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start w:val="6"/>
      <w:numFmt w:val="decimal"/>
      <w:lvlText w:val="%1.%2"/>
      <w:lvlJc w:val="left"/>
      <w:pPr>
        <w:ind w:left="73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abstractNum>
  <w:abstractNum w:abstractNumId="14" w15:restartNumberingAfterBreak="0">
    <w:nsid w:val="457319E4"/>
    <w:multiLevelType w:val="hybridMultilevel"/>
    <w:tmpl w:val="F9A6F35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C36C82"/>
    <w:multiLevelType w:val="hybridMultilevel"/>
    <w:tmpl w:val="6172ADEE"/>
    <w:lvl w:ilvl="0" w:tplc="367470AE">
      <w:start w:val="1"/>
      <w:numFmt w:val="decimal"/>
      <w:lvlText w:val="%1"/>
      <w:lvlJc w:val="left"/>
      <w:pPr>
        <w:ind w:left="1200" w:hanging="480"/>
      </w:pPr>
      <w:rPr>
        <w:rFonts w:ascii="TimesNewRomanPS-ItalicMT" w:hAnsi="TimesNewRomanPS-ItalicMT" w:cs="TimesNewRomanPS-ItalicMT" w:hint="default"/>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BD215E"/>
    <w:multiLevelType w:val="multilevel"/>
    <w:tmpl w:val="49DAA5E4"/>
    <w:lvl w:ilvl="0">
      <w:start w:val="2"/>
      <w:numFmt w:val="decimal"/>
      <w:lvlText w:val="%1"/>
      <w:lvlJc w:val="left"/>
      <w:pPr>
        <w:ind w:left="1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start w:val="6"/>
      <w:numFmt w:val="decimal"/>
      <w:lvlText w:val="%1.%2"/>
      <w:lvlJc w:val="left"/>
      <w:pPr>
        <w:ind w:left="73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abstractNum>
  <w:abstractNum w:abstractNumId="17" w15:restartNumberingAfterBreak="0">
    <w:nsid w:val="7E0C6E4F"/>
    <w:multiLevelType w:val="hybridMultilevel"/>
    <w:tmpl w:val="3B64C7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14"/>
  </w:num>
  <w:num w:numId="5">
    <w:abstractNumId w:val="15"/>
  </w:num>
  <w:num w:numId="6">
    <w:abstractNumId w:val="12"/>
  </w:num>
  <w:num w:numId="7">
    <w:abstractNumId w:val="5"/>
  </w:num>
  <w:num w:numId="8">
    <w:abstractNumId w:val="11"/>
  </w:num>
  <w:num w:numId="9">
    <w:abstractNumId w:val="10"/>
  </w:num>
  <w:num w:numId="10">
    <w:abstractNumId w:val="6"/>
  </w:num>
  <w:num w:numId="11">
    <w:abstractNumId w:val="0"/>
  </w:num>
  <w:num w:numId="12">
    <w:abstractNumId w:val="3"/>
  </w:num>
  <w:num w:numId="13">
    <w:abstractNumId w:val="4"/>
  </w:num>
  <w:num w:numId="14">
    <w:abstractNumId w:val="16"/>
  </w:num>
  <w:num w:numId="15">
    <w:abstractNumId w:val="13"/>
  </w:num>
  <w:num w:numId="16">
    <w:abstractNumId w:val="17"/>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0A9A"/>
    <w:rsid w:val="000041EA"/>
    <w:rsid w:val="00010209"/>
    <w:rsid w:val="00022A29"/>
    <w:rsid w:val="00023D1F"/>
    <w:rsid w:val="000355FD"/>
    <w:rsid w:val="0005027F"/>
    <w:rsid w:val="00051E39"/>
    <w:rsid w:val="00056413"/>
    <w:rsid w:val="0006339F"/>
    <w:rsid w:val="000705F2"/>
    <w:rsid w:val="00077239"/>
    <w:rsid w:val="00086491"/>
    <w:rsid w:val="00091346"/>
    <w:rsid w:val="0009706C"/>
    <w:rsid w:val="000A1AD2"/>
    <w:rsid w:val="000D154B"/>
    <w:rsid w:val="000F73FF"/>
    <w:rsid w:val="00103EB0"/>
    <w:rsid w:val="00106791"/>
    <w:rsid w:val="00113AC3"/>
    <w:rsid w:val="00114CF7"/>
    <w:rsid w:val="00123B68"/>
    <w:rsid w:val="00126F2E"/>
    <w:rsid w:val="00146F6F"/>
    <w:rsid w:val="001661C8"/>
    <w:rsid w:val="00173B72"/>
    <w:rsid w:val="00177938"/>
    <w:rsid w:val="00180C1B"/>
    <w:rsid w:val="001863F5"/>
    <w:rsid w:val="00187BD9"/>
    <w:rsid w:val="00190B55"/>
    <w:rsid w:val="001931EA"/>
    <w:rsid w:val="00196362"/>
    <w:rsid w:val="001C3B5F"/>
    <w:rsid w:val="001D058F"/>
    <w:rsid w:val="001E4E01"/>
    <w:rsid w:val="002009EA"/>
    <w:rsid w:val="00202CA0"/>
    <w:rsid w:val="002062C2"/>
    <w:rsid w:val="00216B6D"/>
    <w:rsid w:val="00233757"/>
    <w:rsid w:val="002354EB"/>
    <w:rsid w:val="00241FA2"/>
    <w:rsid w:val="00253FD8"/>
    <w:rsid w:val="002665E4"/>
    <w:rsid w:val="00271316"/>
    <w:rsid w:val="002A5507"/>
    <w:rsid w:val="002B349C"/>
    <w:rsid w:val="002C3463"/>
    <w:rsid w:val="002C69B8"/>
    <w:rsid w:val="002D58BE"/>
    <w:rsid w:val="002E7B96"/>
    <w:rsid w:val="00352363"/>
    <w:rsid w:val="00361B37"/>
    <w:rsid w:val="00377BD3"/>
    <w:rsid w:val="00384088"/>
    <w:rsid w:val="003852CE"/>
    <w:rsid w:val="0039169B"/>
    <w:rsid w:val="003A1170"/>
    <w:rsid w:val="003A7F8C"/>
    <w:rsid w:val="003B2284"/>
    <w:rsid w:val="003B532E"/>
    <w:rsid w:val="003C348F"/>
    <w:rsid w:val="003D0F8B"/>
    <w:rsid w:val="003D34AE"/>
    <w:rsid w:val="003E0DB6"/>
    <w:rsid w:val="003E28F3"/>
    <w:rsid w:val="003E3420"/>
    <w:rsid w:val="0041348E"/>
    <w:rsid w:val="004148C4"/>
    <w:rsid w:val="00420873"/>
    <w:rsid w:val="00425EAC"/>
    <w:rsid w:val="0048032C"/>
    <w:rsid w:val="00492075"/>
    <w:rsid w:val="004969AD"/>
    <w:rsid w:val="004A26C4"/>
    <w:rsid w:val="004B13CB"/>
    <w:rsid w:val="004B4AC1"/>
    <w:rsid w:val="004C2046"/>
    <w:rsid w:val="004D08AA"/>
    <w:rsid w:val="004D26EA"/>
    <w:rsid w:val="004D2BFB"/>
    <w:rsid w:val="004D5D5C"/>
    <w:rsid w:val="004F1847"/>
    <w:rsid w:val="0050139F"/>
    <w:rsid w:val="00502B75"/>
    <w:rsid w:val="00506231"/>
    <w:rsid w:val="00523025"/>
    <w:rsid w:val="00532847"/>
    <w:rsid w:val="0055140B"/>
    <w:rsid w:val="0056007C"/>
    <w:rsid w:val="0056483D"/>
    <w:rsid w:val="005964AB"/>
    <w:rsid w:val="005A0EA4"/>
    <w:rsid w:val="005C099A"/>
    <w:rsid w:val="005C31A5"/>
    <w:rsid w:val="005C71D4"/>
    <w:rsid w:val="005E10C9"/>
    <w:rsid w:val="005E290B"/>
    <w:rsid w:val="005E3A79"/>
    <w:rsid w:val="005E61DD"/>
    <w:rsid w:val="006023DF"/>
    <w:rsid w:val="00616219"/>
    <w:rsid w:val="00640FD1"/>
    <w:rsid w:val="00647DFD"/>
    <w:rsid w:val="00657DE0"/>
    <w:rsid w:val="006712F8"/>
    <w:rsid w:val="00685313"/>
    <w:rsid w:val="00692833"/>
    <w:rsid w:val="006A6E9B"/>
    <w:rsid w:val="006B7C2A"/>
    <w:rsid w:val="006C0110"/>
    <w:rsid w:val="006C23DA"/>
    <w:rsid w:val="006E3D45"/>
    <w:rsid w:val="007149F9"/>
    <w:rsid w:val="00733A30"/>
    <w:rsid w:val="0073564B"/>
    <w:rsid w:val="00741F51"/>
    <w:rsid w:val="0074585C"/>
    <w:rsid w:val="00745AEE"/>
    <w:rsid w:val="00750F10"/>
    <w:rsid w:val="00755158"/>
    <w:rsid w:val="007742CA"/>
    <w:rsid w:val="00790D70"/>
    <w:rsid w:val="007A6F1F"/>
    <w:rsid w:val="007D5320"/>
    <w:rsid w:val="007F69DE"/>
    <w:rsid w:val="00800972"/>
    <w:rsid w:val="00804475"/>
    <w:rsid w:val="00811633"/>
    <w:rsid w:val="00814543"/>
    <w:rsid w:val="008241F9"/>
    <w:rsid w:val="00841216"/>
    <w:rsid w:val="00861C77"/>
    <w:rsid w:val="00872FC8"/>
    <w:rsid w:val="00874F68"/>
    <w:rsid w:val="008845D0"/>
    <w:rsid w:val="00884D60"/>
    <w:rsid w:val="008972CC"/>
    <w:rsid w:val="008B43F2"/>
    <w:rsid w:val="008B6CFF"/>
    <w:rsid w:val="008E67E0"/>
    <w:rsid w:val="009274B4"/>
    <w:rsid w:val="00934EA2"/>
    <w:rsid w:val="00944A5C"/>
    <w:rsid w:val="00952A66"/>
    <w:rsid w:val="00985EE2"/>
    <w:rsid w:val="009B7C9A"/>
    <w:rsid w:val="009C0D1E"/>
    <w:rsid w:val="009C56E5"/>
    <w:rsid w:val="009C78DE"/>
    <w:rsid w:val="009D083B"/>
    <w:rsid w:val="009D7511"/>
    <w:rsid w:val="009E5FC8"/>
    <w:rsid w:val="009E687A"/>
    <w:rsid w:val="009F6210"/>
    <w:rsid w:val="00A066F1"/>
    <w:rsid w:val="00A141AF"/>
    <w:rsid w:val="00A16D29"/>
    <w:rsid w:val="00A25918"/>
    <w:rsid w:val="00A259D0"/>
    <w:rsid w:val="00A30305"/>
    <w:rsid w:val="00A31D2D"/>
    <w:rsid w:val="00A41D24"/>
    <w:rsid w:val="00A4600A"/>
    <w:rsid w:val="00A538A6"/>
    <w:rsid w:val="00A54C25"/>
    <w:rsid w:val="00A70073"/>
    <w:rsid w:val="00A710E7"/>
    <w:rsid w:val="00A7372E"/>
    <w:rsid w:val="00A755AE"/>
    <w:rsid w:val="00A93B85"/>
    <w:rsid w:val="00A975FC"/>
    <w:rsid w:val="00AA0B18"/>
    <w:rsid w:val="00AA1D7D"/>
    <w:rsid w:val="00AA3C65"/>
    <w:rsid w:val="00AA666F"/>
    <w:rsid w:val="00AE4BD4"/>
    <w:rsid w:val="00B07B35"/>
    <w:rsid w:val="00B17B73"/>
    <w:rsid w:val="00B50058"/>
    <w:rsid w:val="00B5663C"/>
    <w:rsid w:val="00B605DC"/>
    <w:rsid w:val="00B62B4A"/>
    <w:rsid w:val="00B639E9"/>
    <w:rsid w:val="00B817CD"/>
    <w:rsid w:val="00B81A7D"/>
    <w:rsid w:val="00B94AD0"/>
    <w:rsid w:val="00B97FBB"/>
    <w:rsid w:val="00BB347A"/>
    <w:rsid w:val="00BB3A95"/>
    <w:rsid w:val="00BB5663"/>
    <w:rsid w:val="00BC77EA"/>
    <w:rsid w:val="00BD6CCE"/>
    <w:rsid w:val="00BE7925"/>
    <w:rsid w:val="00C0018F"/>
    <w:rsid w:val="00C02347"/>
    <w:rsid w:val="00C02EC4"/>
    <w:rsid w:val="00C10908"/>
    <w:rsid w:val="00C16A5A"/>
    <w:rsid w:val="00C20466"/>
    <w:rsid w:val="00C214ED"/>
    <w:rsid w:val="00C234E6"/>
    <w:rsid w:val="00C248D1"/>
    <w:rsid w:val="00C276ED"/>
    <w:rsid w:val="00C324A8"/>
    <w:rsid w:val="00C42F66"/>
    <w:rsid w:val="00C54517"/>
    <w:rsid w:val="00C64CD8"/>
    <w:rsid w:val="00C81113"/>
    <w:rsid w:val="00C97C68"/>
    <w:rsid w:val="00CA1A47"/>
    <w:rsid w:val="00CB44E5"/>
    <w:rsid w:val="00CC247A"/>
    <w:rsid w:val="00CC653C"/>
    <w:rsid w:val="00CD209A"/>
    <w:rsid w:val="00CD6C41"/>
    <w:rsid w:val="00CE388F"/>
    <w:rsid w:val="00CE5E47"/>
    <w:rsid w:val="00CF020F"/>
    <w:rsid w:val="00CF2B5B"/>
    <w:rsid w:val="00D14CE0"/>
    <w:rsid w:val="00D16E12"/>
    <w:rsid w:val="00D24C15"/>
    <w:rsid w:val="00D268B3"/>
    <w:rsid w:val="00D54009"/>
    <w:rsid w:val="00D55167"/>
    <w:rsid w:val="00D5651D"/>
    <w:rsid w:val="00D57A34"/>
    <w:rsid w:val="00D72E2F"/>
    <w:rsid w:val="00D74898"/>
    <w:rsid w:val="00D766B7"/>
    <w:rsid w:val="00D801ED"/>
    <w:rsid w:val="00D83159"/>
    <w:rsid w:val="00D84F33"/>
    <w:rsid w:val="00D9331A"/>
    <w:rsid w:val="00D936BC"/>
    <w:rsid w:val="00D96530"/>
    <w:rsid w:val="00DD44AF"/>
    <w:rsid w:val="00DE08F4"/>
    <w:rsid w:val="00DE2AC3"/>
    <w:rsid w:val="00DE5692"/>
    <w:rsid w:val="00DE7E2C"/>
    <w:rsid w:val="00DF4BC6"/>
    <w:rsid w:val="00E03C94"/>
    <w:rsid w:val="00E205BC"/>
    <w:rsid w:val="00E26226"/>
    <w:rsid w:val="00E45D05"/>
    <w:rsid w:val="00E55816"/>
    <w:rsid w:val="00E55AEF"/>
    <w:rsid w:val="00E7202C"/>
    <w:rsid w:val="00E81C7B"/>
    <w:rsid w:val="00E97631"/>
    <w:rsid w:val="00E976C1"/>
    <w:rsid w:val="00EA12E5"/>
    <w:rsid w:val="00EB115E"/>
    <w:rsid w:val="00EB55C6"/>
    <w:rsid w:val="00EB60C6"/>
    <w:rsid w:val="00EB645F"/>
    <w:rsid w:val="00EF1932"/>
    <w:rsid w:val="00F02766"/>
    <w:rsid w:val="00F05BD4"/>
    <w:rsid w:val="00F05F7C"/>
    <w:rsid w:val="00F12DB4"/>
    <w:rsid w:val="00F35F98"/>
    <w:rsid w:val="00F6155B"/>
    <w:rsid w:val="00F65C19"/>
    <w:rsid w:val="00F702D6"/>
    <w:rsid w:val="00F8759C"/>
    <w:rsid w:val="00FB27DA"/>
    <w:rsid w:val="00FC65DC"/>
    <w:rsid w:val="00FD18DA"/>
    <w:rsid w:val="00FD2546"/>
    <w:rsid w:val="00FD4CCE"/>
    <w:rsid w:val="00FD772E"/>
    <w:rsid w:val="00FE3F0D"/>
    <w:rsid w:val="00FE78C7"/>
    <w:rsid w:val="00FF43AC"/>
    <w:rsid w:val="00FF586B"/>
    <w:rsid w:val="00FF5DD6"/>
    <w:rsid w:val="00FF5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1DC1C9"/>
  <w15:docId w15:val="{889A5060-99D6-48E8-8618-D5D0B1B0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Calibr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rsid w:val="007A1816"/>
    <w:rPr>
      <w:color w:val="auto"/>
    </w:rPr>
  </w:style>
  <w:style w:type="paragraph" w:styleId="BalloonText">
    <w:name w:val="Balloon Text"/>
    <w:basedOn w:val="Normal"/>
    <w:link w:val="BalloonTextChar"/>
    <w:semiHidden/>
    <w:unhideWhenUsed/>
    <w:rsid w:val="00DE7E2C"/>
    <w:pPr>
      <w:spacing w:before="0"/>
    </w:pPr>
    <w:rPr>
      <w:rFonts w:ascii="Tahoma" w:hAnsi="Tahoma" w:cs="Tahoma"/>
      <w:sz w:val="16"/>
      <w:szCs w:val="16"/>
    </w:rPr>
  </w:style>
  <w:style w:type="character" w:customStyle="1" w:styleId="BalloonTextChar">
    <w:name w:val="Balloon Text Char"/>
    <w:link w:val="BalloonText"/>
    <w:semiHidden/>
    <w:rsid w:val="00DE7E2C"/>
    <w:rPr>
      <w:rFonts w:ascii="Tahoma" w:hAnsi="Tahoma" w:cs="Tahoma"/>
      <w:sz w:val="16"/>
      <w:szCs w:val="16"/>
      <w:lang w:val="en-GB" w:eastAsia="en-US"/>
    </w:rPr>
  </w:style>
  <w:style w:type="character" w:customStyle="1" w:styleId="NormalaftertitleChar">
    <w:name w:val="Normal after title Char"/>
    <w:link w:val="Normalaftertitle"/>
    <w:rsid w:val="00DE7E2C"/>
    <w:rPr>
      <w:rFonts w:ascii="Times New Roman" w:hAnsi="Times New Roman"/>
      <w:sz w:val="24"/>
      <w:lang w:val="en-GB" w:eastAsia="en-US"/>
    </w:rPr>
  </w:style>
  <w:style w:type="character" w:customStyle="1" w:styleId="CallChar">
    <w:name w:val="Call Char"/>
    <w:link w:val="Call"/>
    <w:locked/>
    <w:rsid w:val="00DE7E2C"/>
    <w:rPr>
      <w:rFonts w:ascii="Times New Roman" w:hAnsi="Times New Roman"/>
      <w:i/>
      <w:sz w:val="24"/>
      <w:lang w:val="en-GB" w:eastAsia="en-US"/>
    </w:rPr>
  </w:style>
  <w:style w:type="character" w:customStyle="1" w:styleId="RestitleChar">
    <w:name w:val="Res_title Char"/>
    <w:link w:val="Restitle"/>
    <w:rsid w:val="00DE7E2C"/>
    <w:rPr>
      <w:rFonts w:ascii="Times New Roman Bold" w:hAnsi="Times New Roman Bold"/>
      <w:b/>
      <w:sz w:val="28"/>
      <w:lang w:val="en-GB" w:eastAsia="en-US"/>
    </w:rPr>
  </w:style>
  <w:style w:type="paragraph" w:customStyle="1" w:styleId="ColorfulList-Accent11">
    <w:name w:val="Colorful List - Accent 11"/>
    <w:basedOn w:val="Normal"/>
    <w:uiPriority w:val="34"/>
    <w:qFormat/>
    <w:rsid w:val="00DE7E2C"/>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Calibri" w:hAnsi="Calibri" w:cs="Arial"/>
      <w:sz w:val="22"/>
      <w:szCs w:val="22"/>
      <w:lang w:val="en-US"/>
    </w:rPr>
  </w:style>
  <w:style w:type="character" w:customStyle="1" w:styleId="fontstyle01">
    <w:name w:val="fontstyle01"/>
    <w:rsid w:val="00056413"/>
    <w:rPr>
      <w:rFonts w:ascii="Times New Roman" w:hAnsi="Times New Roman" w:cs="Times New Roman" w:hint="default"/>
      <w:b w:val="0"/>
      <w:bCs w:val="0"/>
      <w:i w:val="0"/>
      <w:iCs w:val="0"/>
      <w:color w:val="000000"/>
      <w:sz w:val="24"/>
      <w:szCs w:val="24"/>
    </w:rPr>
  </w:style>
  <w:style w:type="character" w:styleId="CommentReference">
    <w:name w:val="annotation reference"/>
    <w:uiPriority w:val="99"/>
    <w:semiHidden/>
    <w:unhideWhenUsed/>
    <w:rsid w:val="00BB347A"/>
    <w:rPr>
      <w:sz w:val="16"/>
      <w:szCs w:val="16"/>
    </w:rPr>
  </w:style>
  <w:style w:type="paragraph" w:styleId="CommentText">
    <w:name w:val="annotation text"/>
    <w:basedOn w:val="Normal"/>
    <w:link w:val="CommentTextChar"/>
    <w:semiHidden/>
    <w:unhideWhenUsed/>
    <w:rsid w:val="00BB347A"/>
    <w:rPr>
      <w:sz w:val="20"/>
    </w:rPr>
  </w:style>
  <w:style w:type="character" w:customStyle="1" w:styleId="CommentTextChar">
    <w:name w:val="Comment Text Char"/>
    <w:link w:val="CommentText"/>
    <w:semiHidden/>
    <w:rsid w:val="00BB347A"/>
    <w:rPr>
      <w:rFonts w:ascii="Times New Roman" w:hAnsi="Times New Roman"/>
      <w:lang w:val="en-GB"/>
    </w:rPr>
  </w:style>
  <w:style w:type="paragraph" w:styleId="CommentSubject">
    <w:name w:val="annotation subject"/>
    <w:basedOn w:val="CommentText"/>
    <w:next w:val="CommentText"/>
    <w:link w:val="CommentSubjectChar"/>
    <w:semiHidden/>
    <w:unhideWhenUsed/>
    <w:rsid w:val="00BB347A"/>
    <w:rPr>
      <w:b/>
      <w:bCs/>
    </w:rPr>
  </w:style>
  <w:style w:type="character" w:customStyle="1" w:styleId="CommentSubjectChar">
    <w:name w:val="Comment Subject Char"/>
    <w:link w:val="CommentSubject"/>
    <w:semiHidden/>
    <w:rsid w:val="00BB347A"/>
    <w:rPr>
      <w:rFonts w:ascii="Times New Roman" w:hAnsi="Times New Roman"/>
      <w:b/>
      <w:bCs/>
      <w:lang w:val="en-GB"/>
    </w:rPr>
  </w:style>
  <w:style w:type="paragraph" w:customStyle="1" w:styleId="ColorfulShading-Accent11">
    <w:name w:val="Colorful Shading - Accent 11"/>
    <w:hidden/>
    <w:uiPriority w:val="71"/>
    <w:rsid w:val="003E28F3"/>
    <w:rPr>
      <w:rFonts w:ascii="Times New Roman" w:hAnsi="Times New Roman"/>
      <w:sz w:val="24"/>
      <w:lang w:val="en-GB"/>
    </w:rPr>
  </w:style>
  <w:style w:type="paragraph" w:styleId="Revision">
    <w:name w:val="Revision"/>
    <w:hidden/>
    <w:uiPriority w:val="99"/>
    <w:semiHidden/>
    <w:rsid w:val="00D84F33"/>
    <w:rPr>
      <w:rFonts w:ascii="Times New Roman" w:hAnsi="Times New Roman"/>
      <w:sz w:val="24"/>
      <w:lang w:val="en-GB"/>
    </w:rPr>
  </w:style>
  <w:style w:type="paragraph" w:styleId="ListParagraph">
    <w:name w:val="List Paragraph"/>
    <w:basedOn w:val="Normal"/>
    <w:uiPriority w:val="34"/>
    <w:qFormat/>
    <w:rsid w:val="00FE3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280937">
      <w:bodyDiv w:val="1"/>
      <w:marLeft w:val="0"/>
      <w:marRight w:val="0"/>
      <w:marTop w:val="0"/>
      <w:marBottom w:val="0"/>
      <w:divBdr>
        <w:top w:val="none" w:sz="0" w:space="0" w:color="auto"/>
        <w:left w:val="none" w:sz="0" w:space="0" w:color="auto"/>
        <w:bottom w:val="none" w:sz="0" w:space="0" w:color="auto"/>
        <w:right w:val="none" w:sz="0" w:space="0" w:color="auto"/>
      </w:divBdr>
    </w:div>
    <w:div w:id="1578242151">
      <w:bodyDiv w:val="1"/>
      <w:marLeft w:val="0"/>
      <w:marRight w:val="0"/>
      <w:marTop w:val="0"/>
      <w:marBottom w:val="0"/>
      <w:divBdr>
        <w:top w:val="none" w:sz="0" w:space="0" w:color="auto"/>
        <w:left w:val="none" w:sz="0" w:space="0" w:color="auto"/>
        <w:bottom w:val="none" w:sz="0" w:space="0" w:color="auto"/>
        <w:right w:val="none" w:sz="0" w:space="0" w:color="auto"/>
      </w:divBdr>
    </w:div>
    <w:div w:id="203646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R15-WRC15-C-4718!!MSW-E</DPM_x0020_File_x0020_name>
    <DPM_x0020_Author xmlns="32a1a8c5-2265-4ebc-b7a0-2071e2c5c9bb">Conference Proposals Interface (CPI)</DPM_x0020_Author>
    <DPM_x0020_Version xmlns="32a1a8c5-2265-4ebc-b7a0-2071e2c5c9bb">CPI_5.2015.6.24</DPM_x0020_Vers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A4A5CC-F769-4DF8-88EE-3EB516C77BE9}">
  <ds:schemaRefs>
    <ds:schemaRef ds:uri="http://schemas.microsoft.com/office/2006/metadata/properties"/>
    <ds:schemaRef ds:uri="http://schemas.microsoft.com/office/infopath/2007/PartnerControls"/>
    <ds:schemaRef ds:uri="32a1a8c5-2265-4ebc-b7a0-2071e2c5c9bb"/>
  </ds:schemaRefs>
</ds:datastoreItem>
</file>

<file path=customXml/itemProps5.xml><?xml version="1.0" encoding="utf-8"?>
<ds:datastoreItem xmlns:ds="http://schemas.openxmlformats.org/officeDocument/2006/customXml" ds:itemID="{68541119-A466-40EF-AF6F-A486CFBF8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11</TotalTime>
  <Pages>9</Pages>
  <Words>2384</Words>
  <Characters>13591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R15-WRC15-C-4718!!MSW-E</vt:lpstr>
    </vt:vector>
  </TitlesOfParts>
  <Manager>General Secretariat - Pool</Manager>
  <Company>International Telecommunication Union (ITU)</Company>
  <LinksUpToDate>false</LinksUpToDate>
  <CharactersWithSpaces>15944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R15-WRC15-C-4718!!MSW-E</dc:title>
  <dc:subject>World Radiocommunication Conference - 2015</dc:subject>
  <dc:creator>Conference Proposals Interface (CPI)</dc:creator>
  <cp:keywords>CPI_5.2015.6.24</cp:keywords>
  <dc:description>Uploaded on 2015.07.06</dc:description>
  <cp:lastModifiedBy>Brian Patten</cp:lastModifiedBy>
  <cp:revision>7</cp:revision>
  <cp:lastPrinted>2014-02-10T10:49:00Z</cp:lastPrinted>
  <dcterms:created xsi:type="dcterms:W3CDTF">2019-07-26T16:18:00Z</dcterms:created>
  <dcterms:modified xsi:type="dcterms:W3CDTF">2019-07-27T15:58:00Z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y fmtid="{D5CDD505-2E9C-101B-9397-08002B2CF9AE}" pid="11" name="_dlc_DocId">
    <vt:lpwstr>CJDSJNEQ73FR-44-23</vt:lpwstr>
  </property>
  <property fmtid="{D5CDD505-2E9C-101B-9397-08002B2CF9AE}" pid="12" name="_dlc_DocIdUrl">
    <vt:lpwstr>http://spdev11/en/gmpcs/_layouts/DocIdRedir.aspx?ID=CJDSJNEQ73FR-44-23, CJDSJNEQ73FR-44-23</vt:lpwstr>
  </property>
</Properties>
</file>