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szCs w:val="24"/>
              </w:rPr>
            </w:pPr>
            <w:r>
              <w:rPr>
                <w:b/>
                <w:sz w:val="24"/>
                <w:szCs w:val="24"/>
              </w:rPr>
              <w:t>U.S. PROPOSAL</w:t>
            </w:r>
            <w:r w:rsidRPr="00273988">
              <w:rPr>
                <w:b/>
                <w:sz w:val="24"/>
                <w:szCs w:val="24"/>
              </w:rPr>
              <w:t xml:space="preserve"> ON WRC-19 AGENDA ITEM 1.1</w:t>
            </w:r>
            <w:r w:rsidR="007515DA">
              <w:rPr>
                <w:b/>
                <w:sz w:val="24"/>
                <w:szCs w:val="24"/>
              </w:rPr>
              <w:t>3</w:t>
            </w:r>
          </w:p>
          <w:p w:rsidR="007515DA" w:rsidRDefault="007515DA" w:rsidP="003902FE">
            <w:pPr>
              <w:spacing w:before="120"/>
              <w:jc w:val="center"/>
              <w:rPr>
                <w:b/>
                <w:sz w:val="24"/>
              </w:rPr>
            </w:pPr>
            <w:r>
              <w:rPr>
                <w:b/>
                <w:sz w:val="24"/>
              </w:rPr>
              <w:t>(</w:t>
            </w:r>
            <w:r w:rsidR="00E34CDB">
              <w:rPr>
                <w:b/>
                <w:sz w:val="24"/>
              </w:rPr>
              <w:t>45.5 – 47.2 GHz</w:t>
            </w:r>
            <w:r>
              <w:rPr>
                <w:b/>
                <w:sz w:val="24"/>
              </w:rPr>
              <w:t>)</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8"/>
          <w:footerReference w:type="default" r:id="rId9"/>
          <w:headerReference w:type="first" r:id="rId10"/>
          <w:footerReference w:type="first" r:id="rId11"/>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bookmarkEnd w:id="0"/>
    <w:p w:rsidR="007515DA" w:rsidRPr="008232CE" w:rsidRDefault="007515DA" w:rsidP="007515DA">
      <w:pPr>
        <w:spacing w:after="120"/>
        <w:jc w:val="both"/>
        <w:rPr>
          <w:sz w:val="22"/>
          <w:szCs w:val="22"/>
        </w:rPr>
      </w:pPr>
      <w:r w:rsidRPr="008232CE">
        <w:rPr>
          <w:sz w:val="22"/>
          <w:szCs w:val="22"/>
        </w:rPr>
        <w:t xml:space="preserve">This document contains an attachment </w:t>
      </w:r>
      <w:r>
        <w:rPr>
          <w:sz w:val="22"/>
          <w:szCs w:val="22"/>
        </w:rPr>
        <w:t>including the updated USA proposal on WRC-19 Agenda Item 1.13 (</w:t>
      </w:r>
      <w:r w:rsidR="00E34CDB">
        <w:rPr>
          <w:sz w:val="22"/>
          <w:szCs w:val="22"/>
        </w:rPr>
        <w:t>45.5 – 47 and 47 – 47.2 GHz</w:t>
      </w:r>
      <w:r>
        <w:rPr>
          <w:sz w:val="22"/>
          <w:szCs w:val="22"/>
        </w:rPr>
        <w:t>)  for consideration in CITEL’s preparation to WRC-19 Agenda Item 1.13.</w:t>
      </w:r>
    </w:p>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E34CDB" w:rsidRPr="00E34CDB" w:rsidRDefault="00E34CDB" w:rsidP="00E34CDB">
      <w:pPr>
        <w:spacing w:before="120"/>
        <w:rPr>
          <w:sz w:val="24"/>
          <w:szCs w:val="24"/>
        </w:rPr>
      </w:pPr>
      <w:r w:rsidRPr="00E34CDB">
        <w:rPr>
          <w:sz w:val="24"/>
          <w:szCs w:val="24"/>
        </w:rPr>
        <w:t>1.13</w:t>
      </w:r>
      <w:r w:rsidRPr="00E34CDB">
        <w:rPr>
          <w:sz w:val="24"/>
          <w:szCs w:val="24"/>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E34CDB">
        <w:rPr>
          <w:b/>
          <w:bCs/>
          <w:sz w:val="24"/>
          <w:szCs w:val="24"/>
        </w:rPr>
        <w:t>238 (WRC-15)</w:t>
      </w:r>
      <w:r w:rsidRPr="00E34CDB">
        <w:rPr>
          <w:sz w:val="24"/>
          <w:szCs w:val="24"/>
        </w:rPr>
        <w:t>;</w:t>
      </w:r>
    </w:p>
    <w:p w:rsidR="00E34CDB" w:rsidRPr="00E34CDB" w:rsidRDefault="00E34CDB" w:rsidP="00E34CDB">
      <w:pPr>
        <w:rPr>
          <w:sz w:val="24"/>
          <w:szCs w:val="24"/>
        </w:rPr>
      </w:pPr>
    </w:p>
    <w:p w:rsidR="00E34CDB" w:rsidRPr="00E34CDB" w:rsidRDefault="00E34CDB" w:rsidP="00E34CDB">
      <w:pPr>
        <w:rPr>
          <w:iCs/>
          <w:sz w:val="24"/>
          <w:szCs w:val="24"/>
        </w:rPr>
      </w:pPr>
      <w:r w:rsidRPr="00E34CDB">
        <w:rPr>
          <w:b/>
          <w:sz w:val="24"/>
          <w:szCs w:val="24"/>
        </w:rPr>
        <w:t>Background Information</w:t>
      </w:r>
      <w:r w:rsidRPr="00E34CDB">
        <w:rPr>
          <w:sz w:val="24"/>
          <w:szCs w:val="24"/>
        </w:rPr>
        <w:t>:</w:t>
      </w:r>
      <w:r w:rsidRPr="00E34CDB">
        <w:rPr>
          <w:b/>
          <w:sz w:val="24"/>
          <w:szCs w:val="24"/>
        </w:rPr>
        <w:t xml:space="preserve"> </w:t>
      </w:r>
      <w:r w:rsidRPr="00E34CDB">
        <w:rPr>
          <w:iCs/>
          <w:sz w:val="24"/>
          <w:szCs w:val="24"/>
        </w:rPr>
        <w:t xml:space="preserve">Resolution </w:t>
      </w:r>
      <w:r w:rsidRPr="00E34CDB">
        <w:rPr>
          <w:b/>
          <w:bCs/>
          <w:iCs/>
          <w:sz w:val="24"/>
          <w:szCs w:val="24"/>
        </w:rPr>
        <w:t xml:space="preserve">238 (WRC-15) </w:t>
      </w:r>
      <w:r w:rsidRPr="00E34CDB">
        <w:rPr>
          <w:iCs/>
          <w:sz w:val="24"/>
          <w:szCs w:val="24"/>
        </w:rPr>
        <w:t xml:space="preserve">invites ITU-R to conduct and complete in time for WRC-19 appropriate studies to determine the spectrum needs for the terrestrial component of IMT in the frequency range between 24.25 GHz and 86 GHz, as well as sharing and compatibility studies, taking into account the protection of services to which the </w:t>
      </w:r>
      <w:r w:rsidRPr="00E34CDB">
        <w:rPr>
          <w:sz w:val="24"/>
          <w:szCs w:val="22"/>
        </w:rPr>
        <w:t xml:space="preserve">frequency </w:t>
      </w:r>
      <w:r w:rsidRPr="00E34CDB">
        <w:rPr>
          <w:iCs/>
          <w:sz w:val="24"/>
          <w:szCs w:val="24"/>
        </w:rPr>
        <w:t>band is allocated on a primary basis, for the frequency bands:</w:t>
      </w:r>
    </w:p>
    <w:p w:rsidR="00E34CDB" w:rsidRPr="00E34CDB" w:rsidRDefault="00E34CDB" w:rsidP="00E34CDB">
      <w:pPr>
        <w:tabs>
          <w:tab w:val="left" w:pos="2608"/>
          <w:tab w:val="left" w:pos="3345"/>
        </w:tabs>
        <w:spacing w:before="80"/>
        <w:ind w:left="1134" w:hanging="1134"/>
        <w:rPr>
          <w:sz w:val="24"/>
          <w:szCs w:val="24"/>
        </w:rPr>
      </w:pPr>
      <w:r w:rsidRPr="00E34CDB">
        <w:rPr>
          <w:sz w:val="24"/>
          <w:szCs w:val="24"/>
        </w:rPr>
        <w:t>–</w:t>
      </w:r>
      <w:r w:rsidRPr="00E34CDB">
        <w:rPr>
          <w:sz w:val="24"/>
          <w:szCs w:val="24"/>
        </w:rPr>
        <w:tab/>
        <w:t>24.25-27.5 GHz, 37-40.5 GHz, 42.5-43.5 GHz, 45.5-47 GHz, 47.2-50.2 GHz, 50.4</w:t>
      </w:r>
      <w:r w:rsidRPr="00E34CDB">
        <w:rPr>
          <w:sz w:val="24"/>
          <w:szCs w:val="24"/>
        </w:rPr>
        <w:noBreakHyphen/>
        <w:t>52.6 GHz, 66-76 GHz and 81-86 GHz, which have allocations to the mobile service on a primary basis; and</w:t>
      </w:r>
    </w:p>
    <w:p w:rsidR="00E34CDB" w:rsidRPr="00E34CDB" w:rsidRDefault="00E34CDB" w:rsidP="00E34CDB">
      <w:pPr>
        <w:tabs>
          <w:tab w:val="left" w:pos="2608"/>
          <w:tab w:val="left" w:pos="3345"/>
        </w:tabs>
        <w:spacing w:before="80"/>
        <w:ind w:left="1134" w:hanging="1134"/>
        <w:rPr>
          <w:sz w:val="24"/>
          <w:szCs w:val="24"/>
        </w:rPr>
      </w:pPr>
      <w:r w:rsidRPr="00E34CDB">
        <w:rPr>
          <w:sz w:val="24"/>
          <w:szCs w:val="24"/>
        </w:rPr>
        <w:t>–</w:t>
      </w:r>
      <w:r w:rsidRPr="00E34CDB">
        <w:rPr>
          <w:sz w:val="24"/>
          <w:szCs w:val="24"/>
        </w:rPr>
        <w:tab/>
        <w:t>31.8-33.4 GHz, 40.5-42.5 GHz and 47-47.2 GHz, which may require additional allocations to the mobile service on a primary basis.</w:t>
      </w:r>
    </w:p>
    <w:p w:rsidR="00E34CDB" w:rsidRPr="00E34CDB" w:rsidRDefault="00E34CDB" w:rsidP="00E34CDB">
      <w:pPr>
        <w:tabs>
          <w:tab w:val="left" w:pos="2608"/>
          <w:tab w:val="left" w:pos="3345"/>
        </w:tabs>
        <w:spacing w:before="80"/>
        <w:rPr>
          <w:sz w:val="24"/>
          <w:szCs w:val="24"/>
        </w:rPr>
      </w:pPr>
      <w:r w:rsidRPr="00E34CDB">
        <w:rPr>
          <w:iCs/>
          <w:sz w:val="24"/>
          <w:szCs w:val="24"/>
        </w:rPr>
        <w:t>The Resolution further invites WRC-19 to</w:t>
      </w:r>
      <w:r w:rsidRPr="00E34CDB">
        <w:rPr>
          <w:bCs/>
          <w:iCs/>
          <w:sz w:val="24"/>
          <w:szCs w:val="24"/>
        </w:rPr>
        <w:t xml:space="preserve"> consider, based on the results of these studies, additional spectrum allocations to the mobile service on a primary basis and identification of frequency bands for the terrestrial component of IMT. The bands to be considered are</w:t>
      </w:r>
      <w:r w:rsidRPr="00E34CDB">
        <w:rPr>
          <w:color w:val="231F20"/>
          <w:sz w:val="17"/>
          <w:szCs w:val="24"/>
        </w:rPr>
        <w:t xml:space="preserve"> </w:t>
      </w:r>
      <w:r w:rsidRPr="00E34CDB">
        <w:rPr>
          <w:bCs/>
          <w:iCs/>
          <w:sz w:val="24"/>
          <w:szCs w:val="24"/>
        </w:rPr>
        <w:t xml:space="preserve">limited to part or </w:t>
      </w:r>
      <w:proofErr w:type="gramStart"/>
      <w:r w:rsidRPr="00E34CDB">
        <w:rPr>
          <w:bCs/>
          <w:iCs/>
          <w:sz w:val="24"/>
          <w:szCs w:val="24"/>
        </w:rPr>
        <w:t>all of</w:t>
      </w:r>
      <w:proofErr w:type="gramEnd"/>
      <w:r w:rsidRPr="00E34CDB">
        <w:rPr>
          <w:bCs/>
          <w:iCs/>
          <w:sz w:val="24"/>
          <w:szCs w:val="24"/>
        </w:rPr>
        <w:t xml:space="preserve"> the bands listed above.</w:t>
      </w:r>
    </w:p>
    <w:p w:rsidR="00E34CDB" w:rsidRPr="00E34CDB" w:rsidRDefault="00E34CDB" w:rsidP="00E34CDB">
      <w:pPr>
        <w:tabs>
          <w:tab w:val="left" w:pos="2608"/>
          <w:tab w:val="left" w:pos="3345"/>
        </w:tabs>
        <w:spacing w:before="80"/>
        <w:rPr>
          <w:bCs/>
          <w:iCs/>
          <w:sz w:val="24"/>
          <w:szCs w:val="24"/>
        </w:rPr>
      </w:pPr>
      <w:r w:rsidRPr="00E34CDB">
        <w:rPr>
          <w:bCs/>
          <w:iCs/>
          <w:sz w:val="24"/>
          <w:szCs w:val="24"/>
        </w:rPr>
        <w:t xml:space="preserve">No studies were performed in the ITU-R during the study cycle leading up to WRC-19 between IMT-2020 systems and the relevant incumbent services in the 45.5-47 GHz and 47-47.2 GHz bands.  </w:t>
      </w:r>
    </w:p>
    <w:p w:rsidR="00E34CDB" w:rsidRPr="00E34CDB" w:rsidRDefault="00E34CDB" w:rsidP="00E34CDB">
      <w:pPr>
        <w:tabs>
          <w:tab w:val="left" w:pos="2608"/>
          <w:tab w:val="left" w:pos="3345"/>
        </w:tabs>
        <w:spacing w:before="80"/>
        <w:rPr>
          <w:bCs/>
          <w:iCs/>
          <w:sz w:val="24"/>
          <w:szCs w:val="24"/>
        </w:rPr>
      </w:pPr>
      <w:r w:rsidRPr="00E34CDB">
        <w:rPr>
          <w:bCs/>
          <w:iCs/>
          <w:sz w:val="24"/>
          <w:szCs w:val="24"/>
        </w:rPr>
        <w:t xml:space="preserve">The 45.5-47 GHz band is allocated on a primary basis to the mobile-satellite service, the </w:t>
      </w:r>
      <w:proofErr w:type="spellStart"/>
      <w:r w:rsidRPr="00E34CDB">
        <w:rPr>
          <w:bCs/>
          <w:iCs/>
          <w:sz w:val="24"/>
          <w:szCs w:val="24"/>
        </w:rPr>
        <w:t>radionavigation</w:t>
      </w:r>
      <w:proofErr w:type="spellEnd"/>
      <w:r w:rsidRPr="00E34CDB">
        <w:rPr>
          <w:bCs/>
          <w:iCs/>
          <w:sz w:val="24"/>
          <w:szCs w:val="24"/>
        </w:rPr>
        <w:t xml:space="preserve"> service, and the </w:t>
      </w:r>
      <w:proofErr w:type="spellStart"/>
      <w:r w:rsidRPr="00E34CDB">
        <w:rPr>
          <w:bCs/>
          <w:iCs/>
          <w:sz w:val="24"/>
          <w:szCs w:val="24"/>
        </w:rPr>
        <w:t>radionavigation</w:t>
      </w:r>
      <w:proofErr w:type="spellEnd"/>
      <w:r w:rsidRPr="00E34CDB">
        <w:rPr>
          <w:bCs/>
          <w:iCs/>
          <w:sz w:val="24"/>
          <w:szCs w:val="24"/>
        </w:rPr>
        <w:t>-satellite service (in addition to the mobile service</w:t>
      </w:r>
      <w:r>
        <w:rPr>
          <w:bCs/>
          <w:iCs/>
          <w:sz w:val="24"/>
          <w:szCs w:val="24"/>
        </w:rPr>
        <w:t>)</w:t>
      </w:r>
      <w:r w:rsidRPr="00E34CDB">
        <w:rPr>
          <w:bCs/>
          <w:iCs/>
          <w:sz w:val="24"/>
          <w:szCs w:val="24"/>
        </w:rPr>
        <w:t>.  The frequency band 47-47.2 GHz is allocated on a primary basis to the amateur and amateur-satellite services and would require a new primary mobile allocation. As no studies have been done with these services, the conditions, if any, needed to ensure protection of these services have not yet been identified.</w:t>
      </w:r>
    </w:p>
    <w:p w:rsidR="00E34CDB" w:rsidRPr="00E34CDB" w:rsidRDefault="00E34CDB" w:rsidP="00E34CDB">
      <w:pPr>
        <w:jc w:val="center"/>
        <w:rPr>
          <w:sz w:val="24"/>
          <w:szCs w:val="24"/>
          <w:lang w:val="en-AU"/>
        </w:rPr>
      </w:pPr>
      <w:bookmarkStart w:id="1" w:name="_Toc451865291"/>
      <w:r w:rsidRPr="00E34CDB">
        <w:rPr>
          <w:sz w:val="24"/>
          <w:szCs w:val="24"/>
        </w:rPr>
        <w:br w:type="page"/>
      </w:r>
      <w:r w:rsidRPr="00E34CDB">
        <w:rPr>
          <w:sz w:val="24"/>
          <w:szCs w:val="24"/>
        </w:rPr>
        <w:lastRenderedPageBreak/>
        <w:t>ARTICLE</w:t>
      </w:r>
      <w:r w:rsidRPr="00E34CDB">
        <w:rPr>
          <w:sz w:val="24"/>
          <w:szCs w:val="24"/>
          <w:lang w:val="en-AU"/>
        </w:rPr>
        <w:t xml:space="preserve"> </w:t>
      </w:r>
      <w:r w:rsidRPr="00E34CDB">
        <w:rPr>
          <w:color w:val="000000"/>
          <w:sz w:val="24"/>
          <w:szCs w:val="24"/>
          <w:lang w:val="en-AU"/>
        </w:rPr>
        <w:t>5</w:t>
      </w:r>
      <w:bookmarkEnd w:id="1"/>
    </w:p>
    <w:p w:rsidR="00E34CDB" w:rsidRPr="00E34CDB" w:rsidRDefault="00E34CDB" w:rsidP="00E34CDB">
      <w:pPr>
        <w:keepNext/>
        <w:keepLines/>
        <w:overflowPunct w:val="0"/>
        <w:autoSpaceDE w:val="0"/>
        <w:autoSpaceDN w:val="0"/>
        <w:adjustRightInd w:val="0"/>
        <w:spacing w:before="160" w:after="80"/>
        <w:jc w:val="center"/>
        <w:textAlignment w:val="baseline"/>
        <w:rPr>
          <w:b/>
          <w:noProof/>
          <w:sz w:val="28"/>
        </w:rPr>
      </w:pPr>
      <w:bookmarkStart w:id="2" w:name="_Toc327956583"/>
      <w:bookmarkStart w:id="3" w:name="_Toc451865292"/>
      <w:r w:rsidRPr="00E34CDB">
        <w:rPr>
          <w:b/>
          <w:noProof/>
          <w:sz w:val="28"/>
        </w:rPr>
        <w:t>Frequency allocations</w:t>
      </w:r>
      <w:bookmarkEnd w:id="2"/>
      <w:bookmarkEnd w:id="3"/>
    </w:p>
    <w:p w:rsidR="00E34CDB" w:rsidRPr="00E34CDB" w:rsidRDefault="00E34CDB" w:rsidP="00E34CDB">
      <w:pPr>
        <w:keepNext/>
        <w:tabs>
          <w:tab w:val="center" w:pos="4820"/>
        </w:tabs>
        <w:overflowPunct w:val="0"/>
        <w:autoSpaceDE w:val="0"/>
        <w:autoSpaceDN w:val="0"/>
        <w:adjustRightInd w:val="0"/>
        <w:spacing w:before="360"/>
        <w:jc w:val="center"/>
        <w:textAlignment w:val="baseline"/>
        <w:rPr>
          <w:b/>
          <w:sz w:val="24"/>
          <w:lang w:val="en-GB"/>
        </w:rPr>
      </w:pPr>
      <w:r w:rsidRPr="00E34CDB">
        <w:rPr>
          <w:b/>
          <w:sz w:val="24"/>
          <w:lang w:val="en-GB"/>
        </w:rPr>
        <w:t>Section</w:t>
      </w:r>
      <w:r w:rsidRPr="00E34CDB">
        <w:rPr>
          <w:b/>
          <w:sz w:val="24"/>
          <w:lang w:val="en-AU"/>
        </w:rPr>
        <w:t xml:space="preserve"> IV – Table of Frequency Allocations</w:t>
      </w:r>
      <w:r w:rsidRPr="00E34CDB">
        <w:rPr>
          <w:b/>
          <w:sz w:val="24"/>
          <w:lang w:val="en-AU"/>
        </w:rPr>
        <w:br/>
      </w:r>
      <w:r w:rsidRPr="00E34CDB">
        <w:rPr>
          <w:bCs/>
          <w:sz w:val="24"/>
          <w:lang w:val="en-GB"/>
        </w:rPr>
        <w:t xml:space="preserve">(See No. </w:t>
      </w:r>
      <w:r w:rsidRPr="00E34CDB">
        <w:rPr>
          <w:b/>
          <w:sz w:val="24"/>
          <w:lang w:val="en-GB"/>
        </w:rPr>
        <w:t>2.1</w:t>
      </w:r>
      <w:r w:rsidRPr="00E34CDB">
        <w:rPr>
          <w:bCs/>
          <w:sz w:val="24"/>
          <w:lang w:val="en-GB"/>
        </w:rPr>
        <w:t>)</w:t>
      </w:r>
      <w:r w:rsidRPr="00E34CDB">
        <w:rPr>
          <w:bCs/>
          <w:sz w:val="24"/>
          <w:lang w:val="en-GB"/>
        </w:rPr>
        <w:br/>
      </w:r>
      <w:r w:rsidRPr="00E34CDB">
        <w:rPr>
          <w:b/>
          <w:sz w:val="24"/>
          <w:lang w:val="en-GB"/>
        </w:rPr>
        <w:br/>
      </w:r>
    </w:p>
    <w:p w:rsidR="00E34CDB" w:rsidRPr="00E34CDB" w:rsidRDefault="00E34CDB" w:rsidP="00E34CDB">
      <w:pPr>
        <w:keepNext/>
        <w:tabs>
          <w:tab w:val="left" w:pos="1134"/>
          <w:tab w:val="left" w:pos="1871"/>
          <w:tab w:val="left" w:pos="2268"/>
        </w:tabs>
        <w:overflowPunct w:val="0"/>
        <w:autoSpaceDE w:val="0"/>
        <w:autoSpaceDN w:val="0"/>
        <w:adjustRightInd w:val="0"/>
        <w:spacing w:before="240"/>
        <w:textAlignment w:val="baseline"/>
        <w:rPr>
          <w:sz w:val="24"/>
          <w:lang w:val="en-GB"/>
        </w:rPr>
      </w:pPr>
      <w:r w:rsidRPr="00E34CDB">
        <w:rPr>
          <w:b/>
          <w:sz w:val="24"/>
          <w:u w:val="single"/>
          <w:lang w:val="en-GB"/>
        </w:rPr>
        <w:t>NOC</w:t>
      </w:r>
      <w:r w:rsidRPr="00E34CDB">
        <w:rPr>
          <w:sz w:val="24"/>
          <w:lang w:val="en-GB"/>
        </w:rPr>
        <w:tab/>
        <w:t>USA/4773A13/2</w:t>
      </w:r>
    </w:p>
    <w:p w:rsidR="00E34CDB" w:rsidRPr="00E34CDB" w:rsidRDefault="00E34CDB" w:rsidP="00E34CDB">
      <w:pPr>
        <w:keepNext/>
        <w:overflowPunct w:val="0"/>
        <w:autoSpaceDE w:val="0"/>
        <w:autoSpaceDN w:val="0"/>
        <w:adjustRightInd w:val="0"/>
        <w:spacing w:after="120"/>
        <w:jc w:val="center"/>
        <w:textAlignment w:val="baseline"/>
        <w:rPr>
          <w:b/>
          <w:sz w:val="24"/>
          <w:szCs w:val="24"/>
          <w:lang w:val="fr-FR"/>
        </w:rPr>
      </w:pPr>
      <w:r w:rsidRPr="00E34CDB">
        <w:rPr>
          <w:b/>
          <w:sz w:val="24"/>
          <w:szCs w:val="24"/>
          <w:lang w:val="fr-FR"/>
        </w:rPr>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overflowPunct w:val="0"/>
              <w:autoSpaceDE w:val="0"/>
              <w:autoSpaceDN w:val="0"/>
              <w:adjustRightInd w:val="0"/>
              <w:spacing w:before="80" w:after="80"/>
              <w:jc w:val="center"/>
              <w:textAlignment w:val="baseline"/>
              <w:rPr>
                <w:b/>
                <w:lang w:val="fr-FR"/>
              </w:rPr>
            </w:pPr>
            <w:r w:rsidRPr="00E34CDB">
              <w:rPr>
                <w:b/>
                <w:lang w:val="fr-FR"/>
              </w:rPr>
              <w:t>Allocation to services</w:t>
            </w:r>
          </w:p>
        </w:tc>
      </w:tr>
      <w:tr w:rsidR="00E34CDB" w:rsidRPr="00E34CDB" w:rsidTr="00927610">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overflowPunct w:val="0"/>
              <w:autoSpaceDE w:val="0"/>
              <w:autoSpaceDN w:val="0"/>
              <w:adjustRightInd w:val="0"/>
              <w:spacing w:before="80" w:after="80"/>
              <w:jc w:val="center"/>
              <w:textAlignment w:val="baseline"/>
              <w:rPr>
                <w:b/>
                <w:lang w:val="fr-FR"/>
              </w:rPr>
            </w:pPr>
            <w:proofErr w:type="spellStart"/>
            <w:r w:rsidRPr="00E34CDB">
              <w:rPr>
                <w:b/>
                <w:lang w:val="fr-FR"/>
              </w:rPr>
              <w:t>Region</w:t>
            </w:r>
            <w:proofErr w:type="spellEnd"/>
            <w:r w:rsidRPr="00E34CDB">
              <w:rPr>
                <w:b/>
                <w:lang w:val="fr-FR"/>
              </w:rPr>
              <w:t xml:space="preserve"> 1</w:t>
            </w:r>
          </w:p>
        </w:tc>
        <w:tc>
          <w:tcPr>
            <w:tcW w:w="3099" w:type="dxa"/>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overflowPunct w:val="0"/>
              <w:autoSpaceDE w:val="0"/>
              <w:autoSpaceDN w:val="0"/>
              <w:adjustRightInd w:val="0"/>
              <w:spacing w:before="80" w:after="80"/>
              <w:jc w:val="center"/>
              <w:textAlignment w:val="baseline"/>
              <w:rPr>
                <w:b/>
                <w:lang w:val="fr-FR"/>
              </w:rPr>
            </w:pPr>
            <w:proofErr w:type="spellStart"/>
            <w:r w:rsidRPr="00E34CDB">
              <w:rPr>
                <w:b/>
                <w:lang w:val="fr-FR"/>
              </w:rPr>
              <w:t>Region</w:t>
            </w:r>
            <w:proofErr w:type="spellEnd"/>
            <w:r w:rsidRPr="00E34CDB">
              <w:rPr>
                <w:b/>
                <w:lang w:val="fr-FR"/>
              </w:rPr>
              <w:t xml:space="preserve"> 2</w:t>
            </w:r>
          </w:p>
        </w:tc>
        <w:tc>
          <w:tcPr>
            <w:tcW w:w="3100" w:type="dxa"/>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overflowPunct w:val="0"/>
              <w:autoSpaceDE w:val="0"/>
              <w:autoSpaceDN w:val="0"/>
              <w:adjustRightInd w:val="0"/>
              <w:spacing w:before="80" w:after="80"/>
              <w:jc w:val="center"/>
              <w:textAlignment w:val="baseline"/>
              <w:rPr>
                <w:b/>
                <w:lang w:val="fr-FR"/>
              </w:rPr>
            </w:pPr>
            <w:proofErr w:type="spellStart"/>
            <w:r w:rsidRPr="00E34CDB">
              <w:rPr>
                <w:b/>
                <w:lang w:val="fr-FR"/>
              </w:rPr>
              <w:t>Region</w:t>
            </w:r>
            <w:proofErr w:type="spellEnd"/>
            <w:r w:rsidRPr="00E34CDB">
              <w:rPr>
                <w:b/>
                <w:lang w:val="fr-FR"/>
              </w:rPr>
              <w:t xml:space="preserve"> 3</w:t>
            </w:r>
          </w:p>
        </w:tc>
      </w:tr>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b/>
                <w:lang w:val="fr-FR"/>
              </w:rPr>
              <w:t>40-40.5</w:t>
            </w:r>
            <w:r w:rsidRPr="00E34CDB">
              <w:rPr>
                <w:lang w:val="en-AU"/>
              </w:rPr>
              <w:tab/>
            </w:r>
            <w:r w:rsidRPr="00E34CDB">
              <w:rPr>
                <w:lang w:val="en-AU"/>
              </w:rPr>
              <w:tab/>
              <w:t>EARTH EXPLORATION-SATELLITE (Earth-to-space)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FIXED</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FIXED-SATELLITE (space-to-</w:t>
            </w:r>
            <w:proofErr w:type="gramStart"/>
            <w:r w:rsidRPr="00E34CDB">
              <w:rPr>
                <w:lang w:val="en-AU"/>
              </w:rPr>
              <w:t>Earth)  5</w:t>
            </w:r>
            <w:proofErr w:type="gramEnd"/>
            <w:r w:rsidRPr="00E34CDB">
              <w:rPr>
                <w:lang w:val="en-AU"/>
              </w:rPr>
              <w:t>.516B</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MOBILE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MOBILE-SATELLITE (space-to-Earth)</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SPACE RESEARCH (Earth-to-space)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Earth exploration-satellite (space-to-Earth)</w:t>
            </w:r>
          </w:p>
        </w:tc>
      </w:tr>
      <w:tr w:rsidR="00E34CDB" w:rsidRPr="00E34CDB" w:rsidTr="00927610">
        <w:trPr>
          <w:cantSplit/>
          <w:jc w:val="center"/>
        </w:trPr>
        <w:tc>
          <w:tcPr>
            <w:tcW w:w="3100" w:type="dxa"/>
            <w:tcBorders>
              <w:top w:val="single" w:sz="4" w:space="0" w:color="auto"/>
              <w:left w:val="single" w:sz="4" w:space="0" w:color="auto"/>
              <w:bottom w:val="single" w:sz="4" w:space="0" w:color="auto"/>
              <w:right w:val="single" w:sz="4" w:space="0" w:color="auto"/>
            </w:tcBorders>
          </w:tcPr>
          <w:p w:rsidR="00E34CDB" w:rsidRPr="00E34CDB" w:rsidRDefault="00E34CDB" w:rsidP="00E34CDB">
            <w:pPr>
              <w:overflowPunct w:val="0"/>
              <w:autoSpaceDE w:val="0"/>
              <w:autoSpaceDN w:val="0"/>
              <w:adjustRightInd w:val="0"/>
              <w:spacing w:before="40" w:after="40"/>
              <w:jc w:val="both"/>
              <w:textAlignment w:val="baseline"/>
              <w:rPr>
                <w:b/>
                <w:lang w:val="fr-FR"/>
              </w:rPr>
            </w:pPr>
            <w:r w:rsidRPr="00E34CDB">
              <w:rPr>
                <w:b/>
                <w:lang w:val="fr-FR"/>
              </w:rPr>
              <w:t>40.5-41</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FIXED</w:t>
            </w:r>
          </w:p>
          <w:p w:rsidR="00E34CDB" w:rsidRPr="00E34CDB" w:rsidRDefault="00E34CDB" w:rsidP="00E34CDB">
            <w:pPr>
              <w:overflowPunct w:val="0"/>
              <w:autoSpaceDE w:val="0"/>
              <w:autoSpaceDN w:val="0"/>
              <w:adjustRightInd w:val="0"/>
              <w:spacing w:before="40" w:after="40"/>
              <w:ind w:left="170" w:hanging="170"/>
              <w:jc w:val="both"/>
              <w:textAlignment w:val="baseline"/>
              <w:rPr>
                <w:lang w:val="fr-FR"/>
              </w:rPr>
            </w:pPr>
            <w:r w:rsidRPr="00E34CDB">
              <w:rPr>
                <w:lang w:val="fr-FR"/>
              </w:rPr>
              <w:t xml:space="preserve">FIXED-SATELLITE </w:t>
            </w:r>
            <w:r w:rsidRPr="00E34CDB">
              <w:rPr>
                <w:lang w:val="fr-FR"/>
              </w:rPr>
              <w:br/>
              <w:t>(</w:t>
            </w:r>
            <w:proofErr w:type="spellStart"/>
            <w:r w:rsidRPr="00E34CDB">
              <w:rPr>
                <w:lang w:val="fr-FR"/>
              </w:rPr>
              <w:t>space</w:t>
            </w:r>
            <w:proofErr w:type="spellEnd"/>
            <w:r w:rsidRPr="00E34CDB">
              <w:rPr>
                <w:lang w:val="fr-FR"/>
              </w:rPr>
              <w:t>-to-</w:t>
            </w:r>
            <w:proofErr w:type="spellStart"/>
            <w:r w:rsidRPr="00E34CDB">
              <w:rPr>
                <w:lang w:val="fr-FR"/>
              </w:rPr>
              <w:t>Earth</w:t>
            </w:r>
            <w:proofErr w:type="spellEnd"/>
            <w:r w:rsidRPr="00E34CDB">
              <w:rPr>
                <w:lang w:val="fr-FR"/>
              </w:rPr>
              <w:t>)</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BROADCASTING</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BROADCASTING-SATELLITE</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Mobile</w:t>
            </w:r>
          </w:p>
          <w:p w:rsidR="00E34CDB" w:rsidRPr="00E34CDB" w:rsidRDefault="00E34CDB" w:rsidP="00E34CDB">
            <w:pPr>
              <w:overflowPunct w:val="0"/>
              <w:autoSpaceDE w:val="0"/>
              <w:autoSpaceDN w:val="0"/>
              <w:adjustRightInd w:val="0"/>
              <w:spacing w:before="40" w:after="40"/>
              <w:jc w:val="both"/>
              <w:textAlignment w:val="baseline"/>
              <w:rPr>
                <w:lang w:val="fr-FR"/>
              </w:rPr>
            </w:pP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s-ES_tradnl"/>
              </w:rPr>
            </w:pPr>
            <w:r w:rsidRPr="00E34CDB">
              <w:rPr>
                <w:lang w:val="fr-FR"/>
              </w:rPr>
              <w:t>5.547</w:t>
            </w:r>
          </w:p>
        </w:tc>
        <w:tc>
          <w:tcPr>
            <w:tcW w:w="3099" w:type="dxa"/>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overflowPunct w:val="0"/>
              <w:autoSpaceDE w:val="0"/>
              <w:autoSpaceDN w:val="0"/>
              <w:adjustRightInd w:val="0"/>
              <w:spacing w:before="40" w:after="40"/>
              <w:jc w:val="both"/>
              <w:textAlignment w:val="baseline"/>
              <w:rPr>
                <w:b/>
                <w:lang w:val="fr-FR"/>
              </w:rPr>
            </w:pPr>
            <w:r w:rsidRPr="00E34CDB">
              <w:rPr>
                <w:b/>
                <w:lang w:val="fr-FR"/>
              </w:rPr>
              <w:t>40.5-41</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FIXED</w:t>
            </w:r>
          </w:p>
          <w:p w:rsidR="00E34CDB" w:rsidRPr="00E34CDB" w:rsidRDefault="00E34CDB" w:rsidP="00E34CDB">
            <w:pPr>
              <w:overflowPunct w:val="0"/>
              <w:autoSpaceDE w:val="0"/>
              <w:autoSpaceDN w:val="0"/>
              <w:adjustRightInd w:val="0"/>
              <w:spacing w:before="40" w:after="40"/>
              <w:ind w:left="170" w:hanging="170"/>
              <w:jc w:val="both"/>
              <w:textAlignment w:val="baseline"/>
              <w:rPr>
                <w:lang w:val="fr-FR"/>
              </w:rPr>
            </w:pPr>
            <w:r w:rsidRPr="00E34CDB">
              <w:rPr>
                <w:lang w:val="fr-FR"/>
              </w:rPr>
              <w:t xml:space="preserve">FIXED-SATELLITE </w:t>
            </w:r>
            <w:r w:rsidRPr="00E34CDB">
              <w:rPr>
                <w:lang w:val="fr-FR"/>
              </w:rPr>
              <w:br/>
              <w:t>(</w:t>
            </w:r>
            <w:proofErr w:type="spellStart"/>
            <w:r w:rsidRPr="00E34CDB">
              <w:rPr>
                <w:lang w:val="fr-FR"/>
              </w:rPr>
              <w:t>space</w:t>
            </w:r>
            <w:proofErr w:type="spellEnd"/>
            <w:r w:rsidRPr="00E34CDB">
              <w:rPr>
                <w:lang w:val="fr-FR"/>
              </w:rPr>
              <w:t>-to-</w:t>
            </w:r>
            <w:proofErr w:type="spellStart"/>
            <w:proofErr w:type="gramStart"/>
            <w:r w:rsidRPr="00E34CDB">
              <w:rPr>
                <w:lang w:val="fr-FR"/>
              </w:rPr>
              <w:t>Earth</w:t>
            </w:r>
            <w:proofErr w:type="spellEnd"/>
            <w:r w:rsidRPr="00E34CDB">
              <w:rPr>
                <w:lang w:val="fr-FR"/>
              </w:rPr>
              <w:t>)  5</w:t>
            </w:r>
            <w:proofErr w:type="gramEnd"/>
            <w:r w:rsidRPr="00E34CDB">
              <w:rPr>
                <w:lang w:val="fr-FR"/>
              </w:rPr>
              <w:t>.516B</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BROADCASTING</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BROADCASTING-SATELLITE</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Mobile</w:t>
            </w:r>
          </w:p>
          <w:p w:rsidR="00E34CDB" w:rsidRPr="00E34CDB" w:rsidRDefault="00E34CDB" w:rsidP="00E34CDB">
            <w:pPr>
              <w:overflowPunct w:val="0"/>
              <w:autoSpaceDE w:val="0"/>
              <w:autoSpaceDN w:val="0"/>
              <w:adjustRightInd w:val="0"/>
              <w:spacing w:before="40" w:after="40"/>
              <w:ind w:left="170" w:hanging="170"/>
              <w:jc w:val="both"/>
              <w:textAlignment w:val="baseline"/>
              <w:rPr>
                <w:lang w:val="fr-FR"/>
              </w:rPr>
            </w:pPr>
            <w:r w:rsidRPr="00E34CDB">
              <w:rPr>
                <w:lang w:val="fr-FR"/>
              </w:rPr>
              <w:t>Mobile-satellite (</w:t>
            </w:r>
            <w:proofErr w:type="spellStart"/>
            <w:r w:rsidRPr="00E34CDB">
              <w:rPr>
                <w:lang w:val="fr-FR"/>
              </w:rPr>
              <w:t>space</w:t>
            </w:r>
            <w:proofErr w:type="spellEnd"/>
            <w:r w:rsidRPr="00E34CDB">
              <w:rPr>
                <w:lang w:val="fr-FR"/>
              </w:rPr>
              <w:t>-to-</w:t>
            </w:r>
            <w:proofErr w:type="spellStart"/>
            <w:r w:rsidRPr="00E34CDB">
              <w:rPr>
                <w:lang w:val="fr-FR"/>
              </w:rPr>
              <w:t>Earth</w:t>
            </w:r>
            <w:proofErr w:type="spellEnd"/>
            <w:r w:rsidRPr="00E34CDB">
              <w:rPr>
                <w:lang w:val="fr-FR"/>
              </w:rPr>
              <w:t>)</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s-ES_tradnl"/>
              </w:rPr>
            </w:pPr>
            <w:r w:rsidRPr="00E34CDB">
              <w:rPr>
                <w:lang w:val="fr-FR"/>
              </w:rPr>
              <w:t>5.547</w:t>
            </w:r>
          </w:p>
        </w:tc>
        <w:tc>
          <w:tcPr>
            <w:tcW w:w="3100" w:type="dxa"/>
            <w:tcBorders>
              <w:top w:val="single" w:sz="4" w:space="0" w:color="auto"/>
              <w:left w:val="single" w:sz="4" w:space="0" w:color="auto"/>
              <w:bottom w:val="single" w:sz="4" w:space="0" w:color="auto"/>
              <w:right w:val="single" w:sz="4" w:space="0" w:color="auto"/>
            </w:tcBorders>
          </w:tcPr>
          <w:p w:rsidR="00E34CDB" w:rsidRPr="00E34CDB" w:rsidRDefault="00E34CDB" w:rsidP="00E34CDB">
            <w:pPr>
              <w:overflowPunct w:val="0"/>
              <w:autoSpaceDE w:val="0"/>
              <w:autoSpaceDN w:val="0"/>
              <w:adjustRightInd w:val="0"/>
              <w:spacing w:before="40" w:after="40"/>
              <w:jc w:val="both"/>
              <w:textAlignment w:val="baseline"/>
              <w:rPr>
                <w:b/>
                <w:lang w:val="fr-FR"/>
              </w:rPr>
            </w:pPr>
            <w:r w:rsidRPr="00E34CDB">
              <w:rPr>
                <w:b/>
                <w:lang w:val="fr-FR"/>
              </w:rPr>
              <w:t>40.5-41</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FIXED</w:t>
            </w:r>
          </w:p>
          <w:p w:rsidR="00E34CDB" w:rsidRPr="00E34CDB" w:rsidRDefault="00E34CDB" w:rsidP="00E34CDB">
            <w:pPr>
              <w:overflowPunct w:val="0"/>
              <w:autoSpaceDE w:val="0"/>
              <w:autoSpaceDN w:val="0"/>
              <w:adjustRightInd w:val="0"/>
              <w:spacing w:before="40" w:after="40"/>
              <w:ind w:left="170" w:hanging="170"/>
              <w:jc w:val="both"/>
              <w:textAlignment w:val="baseline"/>
              <w:rPr>
                <w:lang w:val="fr-FR"/>
              </w:rPr>
            </w:pPr>
            <w:r w:rsidRPr="00E34CDB">
              <w:rPr>
                <w:lang w:val="fr-FR"/>
              </w:rPr>
              <w:t xml:space="preserve">FIXED-SATELLITE </w:t>
            </w:r>
            <w:r w:rsidRPr="00E34CDB">
              <w:rPr>
                <w:lang w:val="fr-FR"/>
              </w:rPr>
              <w:br/>
              <w:t>(</w:t>
            </w:r>
            <w:proofErr w:type="spellStart"/>
            <w:r w:rsidRPr="00E34CDB">
              <w:rPr>
                <w:lang w:val="fr-FR"/>
              </w:rPr>
              <w:t>space</w:t>
            </w:r>
            <w:proofErr w:type="spellEnd"/>
            <w:r w:rsidRPr="00E34CDB">
              <w:rPr>
                <w:lang w:val="fr-FR"/>
              </w:rPr>
              <w:t>-to-</w:t>
            </w:r>
            <w:proofErr w:type="spellStart"/>
            <w:r w:rsidRPr="00E34CDB">
              <w:rPr>
                <w:lang w:val="fr-FR"/>
              </w:rPr>
              <w:t>Earth</w:t>
            </w:r>
            <w:proofErr w:type="spellEnd"/>
            <w:r w:rsidRPr="00E34CDB">
              <w:rPr>
                <w:lang w:val="fr-FR"/>
              </w:rPr>
              <w:t>)</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BROADCASTING</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BROADCASTING-SATELLITE</w:t>
            </w:r>
          </w:p>
          <w:p w:rsidR="00E34CDB" w:rsidRPr="00E34CDB" w:rsidRDefault="00E34CDB" w:rsidP="00E34CDB">
            <w:pPr>
              <w:overflowPunct w:val="0"/>
              <w:autoSpaceDE w:val="0"/>
              <w:autoSpaceDN w:val="0"/>
              <w:adjustRightInd w:val="0"/>
              <w:spacing w:before="40" w:after="40"/>
              <w:jc w:val="both"/>
              <w:textAlignment w:val="baseline"/>
              <w:rPr>
                <w:lang w:val="fr-FR"/>
              </w:rPr>
            </w:pPr>
            <w:r w:rsidRPr="00E34CDB">
              <w:rPr>
                <w:lang w:val="fr-FR"/>
              </w:rPr>
              <w:t>Mobile</w:t>
            </w:r>
          </w:p>
          <w:p w:rsidR="00E34CDB" w:rsidRPr="00E34CDB" w:rsidRDefault="00E34CDB" w:rsidP="00E34CDB">
            <w:pPr>
              <w:overflowPunct w:val="0"/>
              <w:autoSpaceDE w:val="0"/>
              <w:autoSpaceDN w:val="0"/>
              <w:adjustRightInd w:val="0"/>
              <w:spacing w:before="40" w:after="40"/>
              <w:jc w:val="both"/>
              <w:textAlignment w:val="baseline"/>
              <w:rPr>
                <w:lang w:val="fr-FR"/>
              </w:rPr>
            </w:pP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s-ES_tradnl"/>
              </w:rPr>
            </w:pPr>
            <w:r w:rsidRPr="00E34CDB">
              <w:rPr>
                <w:lang w:val="fr-FR"/>
              </w:rPr>
              <w:t>5.547</w:t>
            </w:r>
          </w:p>
        </w:tc>
      </w:tr>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tabs>
                <w:tab w:val="left" w:pos="2987"/>
              </w:tabs>
              <w:overflowPunct w:val="0"/>
              <w:autoSpaceDE w:val="0"/>
              <w:autoSpaceDN w:val="0"/>
              <w:adjustRightInd w:val="0"/>
              <w:spacing w:before="40" w:after="40"/>
              <w:jc w:val="both"/>
              <w:textAlignment w:val="baseline"/>
              <w:rPr>
                <w:lang w:val="fr-FR"/>
              </w:rPr>
            </w:pPr>
            <w:r w:rsidRPr="00E34CDB">
              <w:rPr>
                <w:b/>
                <w:lang w:val="fr-FR"/>
              </w:rPr>
              <w:t>41-42.5</w:t>
            </w:r>
            <w:r w:rsidRPr="00E34CDB">
              <w:rPr>
                <w:lang w:val="fr-FR"/>
              </w:rPr>
              <w:tab/>
              <w:t>FIXED</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FR"/>
              </w:rPr>
              <w:tab/>
            </w:r>
            <w:r w:rsidRPr="00E34CDB">
              <w:rPr>
                <w:lang w:val="fr-FR"/>
              </w:rPr>
              <w:tab/>
            </w:r>
            <w:r w:rsidRPr="00E34CDB">
              <w:rPr>
                <w:lang w:val="fr-FR"/>
              </w:rPr>
              <w:tab/>
            </w:r>
            <w:r w:rsidRPr="00E34CDB">
              <w:rPr>
                <w:lang w:val="fr-FR"/>
              </w:rPr>
              <w:tab/>
              <w:t>FIXED-SATELLITE (</w:t>
            </w:r>
            <w:proofErr w:type="spellStart"/>
            <w:r w:rsidRPr="00E34CDB">
              <w:rPr>
                <w:lang w:val="fr-FR"/>
              </w:rPr>
              <w:t>space</w:t>
            </w:r>
            <w:proofErr w:type="spellEnd"/>
            <w:r w:rsidRPr="00E34CDB">
              <w:rPr>
                <w:lang w:val="fr-FR"/>
              </w:rPr>
              <w:t>-to-</w:t>
            </w:r>
            <w:proofErr w:type="spellStart"/>
            <w:proofErr w:type="gramStart"/>
            <w:r w:rsidRPr="00E34CDB">
              <w:rPr>
                <w:lang w:val="fr-FR"/>
              </w:rPr>
              <w:t>Earth</w:t>
            </w:r>
            <w:proofErr w:type="spellEnd"/>
            <w:r w:rsidRPr="00E34CDB">
              <w:rPr>
                <w:lang w:val="fr-FR"/>
              </w:rPr>
              <w:t>)  5</w:t>
            </w:r>
            <w:proofErr w:type="gramEnd"/>
            <w:r w:rsidRPr="00E34CDB">
              <w:rPr>
                <w:lang w:val="fr-FR"/>
              </w:rPr>
              <w:t>.516B</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FR"/>
              </w:rPr>
              <w:tab/>
            </w:r>
            <w:r w:rsidRPr="00E34CDB">
              <w:rPr>
                <w:lang w:val="fr-FR"/>
              </w:rPr>
              <w:tab/>
            </w:r>
            <w:r w:rsidRPr="00E34CDB">
              <w:rPr>
                <w:lang w:val="fr-FR"/>
              </w:rPr>
              <w:tab/>
            </w:r>
            <w:r w:rsidRPr="00E34CDB">
              <w:rPr>
                <w:lang w:val="fr-FR"/>
              </w:rPr>
              <w:tab/>
              <w:t>BROADCASTING</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FR"/>
              </w:rPr>
              <w:tab/>
            </w:r>
            <w:r w:rsidRPr="00E34CDB">
              <w:rPr>
                <w:lang w:val="fr-FR"/>
              </w:rPr>
              <w:tab/>
            </w:r>
            <w:r w:rsidRPr="00E34CDB">
              <w:rPr>
                <w:lang w:val="fr-FR"/>
              </w:rPr>
              <w:tab/>
            </w:r>
            <w:r w:rsidRPr="00E34CDB">
              <w:rPr>
                <w:lang w:val="fr-FR"/>
              </w:rPr>
              <w:tab/>
              <w:t>BROADCASTING-SATELLITE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FR"/>
              </w:rPr>
              <w:tab/>
            </w:r>
            <w:r w:rsidRPr="00E34CDB">
              <w:rPr>
                <w:lang w:val="fr-FR"/>
              </w:rPr>
              <w:tab/>
            </w:r>
            <w:r w:rsidRPr="00E34CDB">
              <w:rPr>
                <w:lang w:val="fr-FR"/>
              </w:rPr>
              <w:tab/>
            </w:r>
            <w:r w:rsidRPr="00E34CDB">
              <w:rPr>
                <w:lang w:val="fr-FR"/>
              </w:rPr>
              <w:tab/>
              <w:t>Mobile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fr-FR"/>
              </w:rPr>
              <w:tab/>
            </w:r>
            <w:r w:rsidRPr="00E34CDB">
              <w:rPr>
                <w:lang w:val="fr-FR"/>
              </w:rPr>
              <w:tab/>
            </w:r>
            <w:r w:rsidRPr="00E34CDB">
              <w:rPr>
                <w:lang w:val="fr-FR"/>
              </w:rPr>
              <w:tab/>
            </w:r>
            <w:r w:rsidRPr="00E34CDB">
              <w:rPr>
                <w:lang w:val="fr-FR"/>
              </w:rPr>
              <w:tab/>
            </w:r>
            <w:proofErr w:type="gramStart"/>
            <w:r w:rsidRPr="00E34CDB">
              <w:rPr>
                <w:lang w:val="fr-FR"/>
              </w:rPr>
              <w:t>5.547  5</w:t>
            </w:r>
            <w:proofErr w:type="gramEnd"/>
            <w:r w:rsidRPr="00E34CDB">
              <w:rPr>
                <w:lang w:val="fr-FR"/>
              </w:rPr>
              <w:t>.551F  5.551H  5.551I</w:t>
            </w:r>
          </w:p>
        </w:tc>
      </w:tr>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b/>
                <w:lang w:val="fr-FR"/>
              </w:rPr>
              <w:t>42.5-43.5</w:t>
            </w:r>
            <w:r w:rsidRPr="00E34CDB">
              <w:rPr>
                <w:lang w:val="en-AU"/>
              </w:rPr>
              <w:tab/>
              <w:t>FIXED</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FIXED-SATELLITE (Earth-to-space</w:t>
            </w:r>
            <w:proofErr w:type="gramStart"/>
            <w:r w:rsidRPr="00E34CDB">
              <w:rPr>
                <w:lang w:val="en-AU"/>
              </w:rPr>
              <w:t>)  5.552</w:t>
            </w:r>
            <w:proofErr w:type="gramEnd"/>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en-AU"/>
              </w:rPr>
              <w:tab/>
            </w:r>
            <w:r w:rsidRPr="00E34CDB">
              <w:rPr>
                <w:lang w:val="en-AU"/>
              </w:rPr>
              <w:tab/>
            </w:r>
            <w:r w:rsidRPr="00E34CDB">
              <w:rPr>
                <w:lang w:val="en-AU"/>
              </w:rPr>
              <w:tab/>
            </w:r>
            <w:r w:rsidRPr="00E34CDB">
              <w:rPr>
                <w:lang w:val="en-AU"/>
              </w:rPr>
              <w:tab/>
            </w:r>
            <w:r w:rsidRPr="00E34CDB">
              <w:rPr>
                <w:lang w:val="fr-CH"/>
              </w:rPr>
              <w:t xml:space="preserve">MOBILE </w:t>
            </w:r>
            <w:proofErr w:type="spellStart"/>
            <w:r w:rsidRPr="00E34CDB">
              <w:rPr>
                <w:lang w:val="fr-CH"/>
              </w:rPr>
              <w:t>except</w:t>
            </w:r>
            <w:proofErr w:type="spellEnd"/>
            <w:r w:rsidRPr="00E34CDB">
              <w:rPr>
                <w:lang w:val="fr-CH"/>
              </w:rPr>
              <w:t xml:space="preserve"> </w:t>
            </w:r>
            <w:proofErr w:type="spellStart"/>
            <w:r w:rsidRPr="00E34CDB">
              <w:rPr>
                <w:lang w:val="fr-CH"/>
              </w:rPr>
              <w:t>aeronautical</w:t>
            </w:r>
            <w:proofErr w:type="spellEnd"/>
            <w:r w:rsidRPr="00E34CDB">
              <w:rPr>
                <w:lang w:val="fr-CH"/>
              </w:rPr>
              <w:t xml:space="preserve"> mobile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CH"/>
              </w:rPr>
            </w:pPr>
            <w:r w:rsidRPr="00E34CDB">
              <w:rPr>
                <w:lang w:val="fr-CH"/>
              </w:rPr>
              <w:tab/>
            </w:r>
            <w:r w:rsidRPr="00E34CDB">
              <w:rPr>
                <w:lang w:val="fr-CH"/>
              </w:rPr>
              <w:tab/>
            </w:r>
            <w:r w:rsidRPr="00E34CDB">
              <w:rPr>
                <w:lang w:val="fr-CH"/>
              </w:rPr>
              <w:tab/>
            </w:r>
            <w:r w:rsidRPr="00E34CDB">
              <w:rPr>
                <w:lang w:val="fr-CH"/>
              </w:rPr>
              <w:tab/>
              <w:t>RADIO ASTRONOMY</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fr-CH"/>
              </w:rPr>
              <w:tab/>
            </w:r>
            <w:r w:rsidRPr="00E34CDB">
              <w:rPr>
                <w:lang w:val="fr-CH"/>
              </w:rPr>
              <w:tab/>
            </w:r>
            <w:r w:rsidRPr="00E34CDB">
              <w:rPr>
                <w:lang w:val="fr-CH"/>
              </w:rPr>
              <w:tab/>
            </w:r>
            <w:r w:rsidRPr="00E34CDB">
              <w:rPr>
                <w:lang w:val="fr-CH"/>
              </w:rPr>
              <w:tab/>
            </w:r>
            <w:proofErr w:type="gramStart"/>
            <w:r w:rsidRPr="00E34CDB">
              <w:rPr>
                <w:lang w:val="fr-FR"/>
              </w:rPr>
              <w:t>5.149  5</w:t>
            </w:r>
            <w:proofErr w:type="gramEnd"/>
            <w:r w:rsidRPr="00E34CDB">
              <w:rPr>
                <w:lang w:val="fr-FR"/>
              </w:rPr>
              <w:t>.547</w:t>
            </w:r>
          </w:p>
        </w:tc>
      </w:tr>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CH"/>
              </w:rPr>
            </w:pPr>
            <w:r w:rsidRPr="00E34CDB">
              <w:rPr>
                <w:b/>
                <w:lang w:val="fr-CH"/>
              </w:rPr>
              <w:t>43.5-47</w:t>
            </w:r>
            <w:r w:rsidRPr="00E34CDB">
              <w:rPr>
                <w:lang w:val="fr-CH"/>
              </w:rPr>
              <w:tab/>
            </w:r>
            <w:r w:rsidRPr="00E34CDB">
              <w:rPr>
                <w:lang w:val="fr-CH"/>
              </w:rPr>
              <w:tab/>
            </w:r>
            <w:proofErr w:type="gramStart"/>
            <w:r w:rsidRPr="00E34CDB">
              <w:rPr>
                <w:lang w:val="fr-CH"/>
              </w:rPr>
              <w:t>MOBILE  5.553</w:t>
            </w:r>
            <w:proofErr w:type="gramEnd"/>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CH"/>
              </w:rPr>
              <w:tab/>
            </w:r>
            <w:r w:rsidRPr="00E34CDB">
              <w:rPr>
                <w:lang w:val="fr-CH"/>
              </w:rPr>
              <w:tab/>
            </w:r>
            <w:r w:rsidRPr="00E34CDB">
              <w:rPr>
                <w:lang w:val="fr-CH"/>
              </w:rPr>
              <w:tab/>
            </w:r>
            <w:r w:rsidRPr="00E34CDB">
              <w:rPr>
                <w:lang w:val="fr-CH"/>
              </w:rPr>
              <w:tab/>
              <w:t>MOBILE-SATELLITE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CH"/>
              </w:rPr>
            </w:pPr>
            <w:r w:rsidRPr="00E34CDB">
              <w:rPr>
                <w:lang w:val="fr-CH"/>
              </w:rPr>
              <w:tab/>
            </w:r>
            <w:r w:rsidRPr="00E34CDB">
              <w:rPr>
                <w:lang w:val="fr-CH"/>
              </w:rPr>
              <w:tab/>
            </w:r>
            <w:r w:rsidRPr="00E34CDB">
              <w:rPr>
                <w:lang w:val="fr-CH"/>
              </w:rPr>
              <w:tab/>
            </w:r>
            <w:r w:rsidRPr="00E34CDB">
              <w:rPr>
                <w:lang w:val="fr-CH"/>
              </w:rPr>
              <w:tab/>
              <w:t>RADIONAVIGATION</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CH"/>
              </w:rPr>
            </w:pPr>
            <w:r w:rsidRPr="00E34CDB">
              <w:rPr>
                <w:lang w:val="fr-CH"/>
              </w:rPr>
              <w:tab/>
            </w:r>
            <w:r w:rsidRPr="00E34CDB">
              <w:rPr>
                <w:lang w:val="fr-CH"/>
              </w:rPr>
              <w:tab/>
            </w:r>
            <w:r w:rsidRPr="00E34CDB">
              <w:rPr>
                <w:lang w:val="fr-CH"/>
              </w:rPr>
              <w:tab/>
            </w:r>
            <w:r w:rsidRPr="00E34CDB">
              <w:rPr>
                <w:lang w:val="fr-CH"/>
              </w:rPr>
              <w:tab/>
              <w:t>RADIONAVIGATION-SATELLITE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CH"/>
              </w:rPr>
              <w:tab/>
            </w:r>
            <w:r w:rsidRPr="00E34CDB">
              <w:rPr>
                <w:lang w:val="fr-CH"/>
              </w:rPr>
              <w:tab/>
            </w:r>
            <w:r w:rsidRPr="00E34CDB">
              <w:rPr>
                <w:lang w:val="fr-CH"/>
              </w:rPr>
              <w:tab/>
            </w:r>
            <w:r w:rsidRPr="00E34CDB">
              <w:rPr>
                <w:lang w:val="fr-CH"/>
              </w:rPr>
              <w:tab/>
            </w:r>
            <w:r w:rsidRPr="00E34CDB">
              <w:rPr>
                <w:lang w:val="fr-FR"/>
              </w:rPr>
              <w:t>5.554</w:t>
            </w:r>
          </w:p>
        </w:tc>
      </w:tr>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b/>
                <w:lang w:val="fr-FR"/>
              </w:rPr>
              <w:lastRenderedPageBreak/>
              <w:t>47-47.2</w:t>
            </w:r>
            <w:r w:rsidRPr="00E34CDB">
              <w:rPr>
                <w:lang w:val="fr-FR"/>
              </w:rPr>
              <w:tab/>
            </w:r>
            <w:r w:rsidRPr="00E34CDB">
              <w:rPr>
                <w:lang w:val="fr-FR"/>
              </w:rPr>
              <w:tab/>
              <w:t>AMATEUR</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fr-FR"/>
              </w:rPr>
            </w:pPr>
            <w:r w:rsidRPr="00E34CDB">
              <w:rPr>
                <w:lang w:val="fr-FR"/>
              </w:rPr>
              <w:tab/>
            </w:r>
            <w:r w:rsidRPr="00E34CDB">
              <w:rPr>
                <w:lang w:val="fr-FR"/>
              </w:rPr>
              <w:tab/>
            </w:r>
            <w:r w:rsidRPr="00E34CDB">
              <w:rPr>
                <w:lang w:val="fr-FR"/>
              </w:rPr>
              <w:tab/>
            </w:r>
            <w:r w:rsidRPr="00E34CDB">
              <w:rPr>
                <w:lang w:val="fr-FR"/>
              </w:rPr>
              <w:tab/>
              <w:t>AMATEUR-SATELLITE</w:t>
            </w:r>
          </w:p>
        </w:tc>
      </w:tr>
      <w:tr w:rsidR="00E34CDB" w:rsidRPr="00E34CDB" w:rsidTr="0092761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b/>
                <w:lang w:val="fr-FR"/>
              </w:rPr>
              <w:t>47.2-47.5</w:t>
            </w:r>
            <w:r w:rsidRPr="00E34CDB">
              <w:rPr>
                <w:lang w:val="en-AU"/>
              </w:rPr>
              <w:tab/>
              <w:t>FIXED</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FIXED-SATELLITE (Earth-to-space</w:t>
            </w:r>
            <w:proofErr w:type="gramStart"/>
            <w:r w:rsidRPr="00E34CDB">
              <w:rPr>
                <w:lang w:val="en-AU"/>
              </w:rPr>
              <w:t>)  5.552</w:t>
            </w:r>
            <w:proofErr w:type="gramEnd"/>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MOBILE</w:t>
            </w:r>
          </w:p>
          <w:p w:rsidR="00E34CDB" w:rsidRPr="00E34CDB" w:rsidRDefault="00E34CDB" w:rsidP="00E34CDB">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E34CDB">
              <w:rPr>
                <w:lang w:val="en-AU"/>
              </w:rPr>
              <w:tab/>
            </w:r>
            <w:r w:rsidRPr="00E34CDB">
              <w:rPr>
                <w:lang w:val="en-AU"/>
              </w:rPr>
              <w:tab/>
            </w:r>
            <w:r w:rsidRPr="00E34CDB">
              <w:rPr>
                <w:lang w:val="en-AU"/>
              </w:rPr>
              <w:tab/>
            </w:r>
            <w:r w:rsidRPr="00E34CDB">
              <w:rPr>
                <w:lang w:val="en-AU"/>
              </w:rPr>
              <w:tab/>
              <w:t>5.552A</w:t>
            </w:r>
          </w:p>
        </w:tc>
      </w:tr>
    </w:tbl>
    <w:p w:rsidR="00E34CDB" w:rsidRPr="00E34CDB" w:rsidRDefault="00E34CDB" w:rsidP="00E34CDB">
      <w:pPr>
        <w:tabs>
          <w:tab w:val="left" w:pos="1134"/>
          <w:tab w:val="left" w:pos="1588"/>
          <w:tab w:val="left" w:pos="1985"/>
        </w:tabs>
        <w:overflowPunct w:val="0"/>
        <w:autoSpaceDE w:val="0"/>
        <w:autoSpaceDN w:val="0"/>
        <w:adjustRightInd w:val="0"/>
        <w:spacing w:before="120"/>
        <w:textAlignment w:val="baseline"/>
        <w:rPr>
          <w:sz w:val="24"/>
          <w:lang w:val="en-GB"/>
        </w:rPr>
      </w:pPr>
      <w:r w:rsidRPr="00E34CDB">
        <w:rPr>
          <w:b/>
          <w:sz w:val="24"/>
          <w:lang w:val="en-GB"/>
        </w:rPr>
        <w:t>Reasons:</w:t>
      </w:r>
      <w:r w:rsidRPr="00E34CDB">
        <w:rPr>
          <w:sz w:val="24"/>
          <w:lang w:val="en-GB"/>
        </w:rPr>
        <w:tab/>
      </w:r>
      <w:r w:rsidRPr="00E34CDB">
        <w:rPr>
          <w:sz w:val="24"/>
          <w:szCs w:val="22"/>
          <w:lang w:val="en-GB"/>
        </w:rPr>
        <w:t xml:space="preserve">Studies were only performed between MSS and IMT-2020 systems in the 45.5-47 GHz band.  The other incumbent services in 45.5-47 GHz and 47-47.2 GHz were not studied.  Therefore, it has not been demonstrated that the incumbent services can be protected, as required by </w:t>
      </w:r>
      <w:r w:rsidRPr="00E34CDB">
        <w:rPr>
          <w:iCs/>
          <w:sz w:val="24"/>
          <w:lang w:val="en-GB"/>
        </w:rPr>
        <w:t xml:space="preserve">Resolution </w:t>
      </w:r>
      <w:r w:rsidRPr="00E34CDB">
        <w:rPr>
          <w:b/>
          <w:bCs/>
          <w:iCs/>
          <w:sz w:val="24"/>
          <w:lang w:val="en-GB"/>
        </w:rPr>
        <w:t>238 (WRC-15)</w:t>
      </w:r>
      <w:r w:rsidRPr="00E34CDB">
        <w:rPr>
          <w:sz w:val="24"/>
          <w:szCs w:val="22"/>
          <w:lang w:val="en-GB"/>
        </w:rPr>
        <w:t>.</w:t>
      </w:r>
    </w:p>
    <w:p w:rsidR="00E34CDB" w:rsidRPr="00E34CDB" w:rsidRDefault="00E34CDB" w:rsidP="00E34CDB">
      <w:pPr>
        <w:spacing w:after="120"/>
        <w:rPr>
          <w:b/>
          <w:sz w:val="24"/>
          <w:szCs w:val="24"/>
        </w:rPr>
      </w:pPr>
      <w:bookmarkStart w:id="4" w:name="_GoBack"/>
      <w:bookmarkEnd w:id="4"/>
    </w:p>
    <w:p w:rsidR="002D5B5E" w:rsidRDefault="002D5B5E" w:rsidP="002D5B5E">
      <w:pPr>
        <w:spacing w:after="120"/>
        <w:ind w:left="-360"/>
      </w:pPr>
    </w:p>
    <w:p w:rsidR="003902FE" w:rsidRDefault="003902FE" w:rsidP="003902FE">
      <w:pPr>
        <w:spacing w:after="120"/>
        <w:ind w:left="-360"/>
        <w:jc w:val="center"/>
      </w:pPr>
      <w:r>
        <w:t>____________________</w:t>
      </w:r>
    </w:p>
    <w:p w:rsidR="003902FE" w:rsidRDefault="003902FE" w:rsidP="003902FE">
      <w:pPr>
        <w:pStyle w:val="Reasons"/>
        <w:tabs>
          <w:tab w:val="clear" w:pos="1588"/>
          <w:tab w:val="clear" w:pos="1985"/>
          <w:tab w:val="left" w:pos="1871"/>
          <w:tab w:val="left" w:pos="2268"/>
        </w:tabs>
      </w:pPr>
    </w:p>
    <w:p w:rsidR="003902FE" w:rsidRPr="003902FE" w:rsidRDefault="003902FE" w:rsidP="003902FE">
      <w:pPr>
        <w:rPr>
          <w:sz w:val="24"/>
        </w:rPr>
      </w:pPr>
    </w:p>
    <w:sectPr w:rsidR="003902FE" w:rsidRPr="003902FE" w:rsidSect="00E82AC2">
      <w:headerReference w:type="default" r:id="rId12"/>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C4B" w:rsidRDefault="00273C4B">
      <w:r>
        <w:separator/>
      </w:r>
    </w:p>
  </w:endnote>
  <w:endnote w:type="continuationSeparator" w:id="0">
    <w:p w:rsidR="00273C4B" w:rsidRDefault="0027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41C">
      <w:rPr>
        <w:rStyle w:val="PageNumber"/>
        <w:noProof/>
      </w:rPr>
      <w:t>2</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3902FE">
      <w:rPr>
        <w:noProof/>
        <w:snapToGrid w:val="0"/>
      </w:rPr>
      <w:t>Document1</w:t>
    </w:r>
    <w:r>
      <w:rPr>
        <w:snapToGrid w:val="0"/>
      </w:rPr>
      <w:fldChar w:fldCharType="end"/>
    </w:r>
    <w:r>
      <w:tab/>
    </w:r>
    <w:r>
      <w:fldChar w:fldCharType="begin"/>
    </w:r>
    <w:r>
      <w:instrText xml:space="preserve"> savedate \@ dd.MM.yy </w:instrText>
    </w:r>
    <w:r>
      <w:fldChar w:fldCharType="separate"/>
    </w:r>
    <w:r w:rsidR="00E34CDB">
      <w:rPr>
        <w:noProof/>
      </w:rPr>
      <w:t>18.03.19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C4B" w:rsidRDefault="00273C4B">
      <w:r>
        <w:separator/>
      </w:r>
    </w:p>
  </w:footnote>
  <w:footnote w:type="continuationSeparator" w:id="0">
    <w:p w:rsidR="00273C4B" w:rsidRDefault="0027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s-UY" w:vendorID="64" w:dllVersion="0" w:nlCheck="1" w:checkStyle="0"/>
  <w:activeWritingStyle w:appName="MSWord" w:lang="es-ES" w:vendorID="64" w:dllVersion="0" w:nlCheck="1" w:checkStyle="0"/>
  <w:activeWritingStyle w:appName="MSWord" w:lang="fr-CA"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D4C1A"/>
    <w:rsid w:val="000E33A5"/>
    <w:rsid w:val="00106646"/>
    <w:rsid w:val="00130557"/>
    <w:rsid w:val="001D1909"/>
    <w:rsid w:val="002178DF"/>
    <w:rsid w:val="00217EFA"/>
    <w:rsid w:val="00220543"/>
    <w:rsid w:val="00273C4B"/>
    <w:rsid w:val="002A4514"/>
    <w:rsid w:val="002C569B"/>
    <w:rsid w:val="002D5B5E"/>
    <w:rsid w:val="00313C59"/>
    <w:rsid w:val="003355CC"/>
    <w:rsid w:val="00344FDD"/>
    <w:rsid w:val="00364023"/>
    <w:rsid w:val="003701A5"/>
    <w:rsid w:val="00370D0B"/>
    <w:rsid w:val="003902FE"/>
    <w:rsid w:val="003A6B15"/>
    <w:rsid w:val="003B5116"/>
    <w:rsid w:val="003E339E"/>
    <w:rsid w:val="003E7951"/>
    <w:rsid w:val="003F5838"/>
    <w:rsid w:val="004347FF"/>
    <w:rsid w:val="004937BF"/>
    <w:rsid w:val="004B39D5"/>
    <w:rsid w:val="004F4CB4"/>
    <w:rsid w:val="00506DB8"/>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26BFE"/>
    <w:rsid w:val="007308E1"/>
    <w:rsid w:val="00744A51"/>
    <w:rsid w:val="007515DA"/>
    <w:rsid w:val="00770DF8"/>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BE041C"/>
    <w:rsid w:val="00C00A6F"/>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4CDB"/>
    <w:rsid w:val="00E355D2"/>
    <w:rsid w:val="00E35C7D"/>
    <w:rsid w:val="00E37090"/>
    <w:rsid w:val="00E41667"/>
    <w:rsid w:val="00E420D4"/>
    <w:rsid w:val="00E50367"/>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2F6DF64"/>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uiPriority w:val="99"/>
    <w:unhideWhenUsed/>
    <w:rsid w:val="002D5B5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D5B5E"/>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unhideWhenUsed/>
    <w:qFormat/>
    <w:rsid w:val="002D5B5E"/>
    <w:rPr>
      <w:vertAlign w:val="superscript"/>
    </w:rPr>
  </w:style>
  <w:style w:type="character" w:styleId="CommentReference">
    <w:name w:val="annotation reference"/>
    <w:uiPriority w:val="99"/>
    <w:rsid w:val="002D5B5E"/>
    <w:rPr>
      <w:sz w:val="16"/>
      <w:szCs w:val="16"/>
    </w:rPr>
  </w:style>
  <w:style w:type="paragraph" w:styleId="CommentText">
    <w:name w:val="annotation text"/>
    <w:basedOn w:val="Normal"/>
    <w:link w:val="CommentTextChar"/>
    <w:rsid w:val="002D5B5E"/>
  </w:style>
  <w:style w:type="character" w:customStyle="1" w:styleId="CommentTextChar">
    <w:name w:val="Comment Text Char"/>
    <w:basedOn w:val="DefaultParagraphFont"/>
    <w:link w:val="CommentText"/>
    <w:rsid w:val="002D5B5E"/>
  </w:style>
  <w:style w:type="character" w:styleId="UnresolvedMention">
    <w:name w:val="Unresolved Mention"/>
    <w:basedOn w:val="DefaultParagraphFont"/>
    <w:uiPriority w:val="99"/>
    <w:semiHidden/>
    <w:unhideWhenUsed/>
    <w:rsid w:val="002D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5D86-E26A-4CF9-8141-DF1B3F50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CCPII-2018-31-Templates_i</Template>
  <TotalTime>79</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4184</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4</cp:revision>
  <cp:lastPrinted>1999-10-11T18:56:00Z</cp:lastPrinted>
  <dcterms:created xsi:type="dcterms:W3CDTF">2019-03-12T17:40:00Z</dcterms:created>
  <dcterms:modified xsi:type="dcterms:W3CDTF">2019-03-18T18:56:00Z</dcterms:modified>
</cp:coreProperties>
</file>