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946638">
              <w:rPr>
                <w:b/>
                <w:sz w:val="22"/>
                <w:szCs w:val="22"/>
              </w:rPr>
              <w:t>1</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946638" w:rsidP="002C569B">
            <w:pPr>
              <w:rPr>
                <w:b/>
                <w:sz w:val="22"/>
                <w:szCs w:val="22"/>
                <w:lang w:val="es-ES"/>
              </w:rPr>
            </w:pPr>
            <w:r w:rsidRPr="00946638">
              <w:rPr>
                <w:b/>
                <w:sz w:val="22"/>
                <w:szCs w:val="22"/>
                <w:lang w:val="es-ES"/>
              </w:rPr>
              <w:t>July 16 to 20</w:t>
            </w:r>
            <w:r w:rsidR="0052422F" w:rsidRPr="00946638">
              <w:rPr>
                <w:b/>
                <w:sz w:val="22"/>
                <w:szCs w:val="22"/>
                <w:lang w:val="es-ES"/>
              </w:rPr>
              <w:t>, 201</w:t>
            </w:r>
            <w:r w:rsidRPr="00946638">
              <w:rPr>
                <w:b/>
                <w:sz w:val="22"/>
                <w:szCs w:val="22"/>
                <w:lang w:val="es-ES"/>
              </w:rPr>
              <w:t>8</w:t>
            </w:r>
          </w:p>
          <w:p w:rsidR="00DF6653" w:rsidRPr="00946638" w:rsidRDefault="00946638" w:rsidP="00946638">
            <w:pPr>
              <w:rPr>
                <w:b/>
                <w:sz w:val="22"/>
                <w:szCs w:val="22"/>
                <w:lang w:val="es-ES"/>
              </w:rPr>
            </w:pPr>
            <w:r w:rsidRPr="00946638">
              <w:rPr>
                <w:b/>
                <w:sz w:val="22"/>
                <w:szCs w:val="22"/>
                <w:lang w:val="es-ES"/>
              </w:rPr>
              <w:t>Guadalajara, Jalisco, Mexico</w:t>
            </w:r>
          </w:p>
        </w:tc>
        <w:tc>
          <w:tcPr>
            <w:tcW w:w="3600" w:type="dxa"/>
            <w:gridSpan w:val="2"/>
          </w:tcPr>
          <w:p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946638">
              <w:rPr>
                <w:b/>
                <w:sz w:val="22"/>
                <w:szCs w:val="22"/>
              </w:rPr>
              <w:t>1</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946638">
              <w:rPr>
                <w:b/>
                <w:sz w:val="22"/>
                <w:szCs w:val="22"/>
                <w:lang w:val="pt-BR"/>
              </w:rPr>
              <w:t>8</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EC54C2">
              <w:rPr>
                <w:b/>
                <w:noProof/>
                <w:sz w:val="22"/>
                <w:szCs w:val="22"/>
              </w:rPr>
              <w:t>6 June 2018</w:t>
            </w:r>
            <w:r w:rsidRPr="008264D0">
              <w:rPr>
                <w:b/>
                <w:sz w:val="22"/>
                <w:szCs w:val="22"/>
              </w:rPr>
              <w:fldChar w:fldCharType="end"/>
            </w:r>
          </w:p>
          <w:p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szCs w:val="24"/>
              </w:rPr>
              <w:t>U.S. PROPOSAL</w:t>
            </w:r>
            <w:r w:rsidRPr="00273988">
              <w:rPr>
                <w:b/>
                <w:sz w:val="24"/>
                <w:szCs w:val="24"/>
              </w:rPr>
              <w:t xml:space="preserve"> ON WRC-19 AGENDA ITEM 1.1</w:t>
            </w:r>
            <w:r>
              <w:rPr>
                <w:b/>
                <w:sz w:val="24"/>
                <w:szCs w:val="24"/>
              </w:rPr>
              <w:t>5</w:t>
            </w:r>
          </w:p>
        </w:tc>
        <w:tc>
          <w:tcPr>
            <w:tcW w:w="1620" w:type="dxa"/>
          </w:tcPr>
          <w:p w:rsidR="00EC54C2" w:rsidRDefault="00EC54C2" w:rsidP="00EC54C2">
            <w:pPr>
              <w:spacing w:before="120"/>
              <w:jc w:val="center"/>
              <w:rPr>
                <w:b/>
                <w:sz w:val="24"/>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lang w:val="es-UY"/>
              </w:rPr>
              <w:t>(Item on the Agenda: 3.1)</w:t>
            </w:r>
          </w:p>
        </w:tc>
        <w:tc>
          <w:tcPr>
            <w:tcW w:w="1620" w:type="dxa"/>
          </w:tcPr>
          <w:p w:rsidR="00EC54C2" w:rsidRDefault="00EC54C2" w:rsidP="00EC54C2">
            <w:pPr>
              <w:spacing w:before="120"/>
              <w:jc w:val="center"/>
              <w:rPr>
                <w:b/>
                <w:sz w:val="24"/>
              </w:rPr>
            </w:pPr>
          </w:p>
        </w:tc>
      </w:tr>
      <w:tr w:rsidR="00EC54C2">
        <w:trPr>
          <w:cantSplit/>
          <w:trHeight w:val="257"/>
        </w:trPr>
        <w:tc>
          <w:tcPr>
            <w:tcW w:w="1620" w:type="dxa"/>
            <w:tcBorders>
              <w:bottom w:val="nil"/>
            </w:tcBorders>
          </w:tcPr>
          <w:p w:rsidR="00EC54C2" w:rsidRDefault="00EC54C2" w:rsidP="00EC54C2">
            <w:pPr>
              <w:spacing w:before="120"/>
              <w:jc w:val="center"/>
              <w:rPr>
                <w:b/>
                <w:sz w:val="24"/>
              </w:rPr>
            </w:pPr>
          </w:p>
        </w:tc>
        <w:tc>
          <w:tcPr>
            <w:tcW w:w="6930" w:type="dxa"/>
            <w:gridSpan w:val="2"/>
            <w:tcBorders>
              <w:bottom w:val="nil"/>
            </w:tcBorders>
          </w:tcPr>
          <w:p w:rsidR="00EC54C2" w:rsidRDefault="00EC54C2" w:rsidP="00EC54C2">
            <w:pPr>
              <w:spacing w:before="120"/>
              <w:jc w:val="center"/>
              <w:rPr>
                <w:b/>
                <w:sz w:val="24"/>
              </w:rPr>
            </w:pPr>
            <w:r>
              <w:rPr>
                <w:b/>
                <w:sz w:val="24"/>
                <w:lang w:val="es-UY"/>
              </w:rPr>
              <w:t>(Document submitted by the delegation of the United States of America)</w:t>
            </w:r>
          </w:p>
        </w:tc>
        <w:tc>
          <w:tcPr>
            <w:tcW w:w="1620" w:type="dxa"/>
            <w:tcBorders>
              <w:bottom w:val="nil"/>
            </w:tcBorders>
          </w:tcPr>
          <w:p w:rsidR="00EC54C2" w:rsidRDefault="00EC54C2" w:rsidP="00EC54C2">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EC54C2" w:rsidRPr="00273988" w:rsidRDefault="00EC54C2" w:rsidP="00EC54C2">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EC54C2" w:rsidRPr="00273988" w:rsidRDefault="00EC54C2" w:rsidP="00EC54C2"/>
    <w:p w:rsidR="00EC54C2" w:rsidRPr="008232CE" w:rsidRDefault="00EC54C2" w:rsidP="00EC54C2">
      <w:pPr>
        <w:spacing w:after="120"/>
        <w:jc w:val="both"/>
        <w:rPr>
          <w:sz w:val="22"/>
          <w:szCs w:val="22"/>
        </w:rPr>
      </w:pPr>
      <w:r w:rsidRPr="008232CE">
        <w:rPr>
          <w:sz w:val="22"/>
          <w:szCs w:val="22"/>
        </w:rPr>
        <w:t xml:space="preserve">This document contains an attachment </w:t>
      </w:r>
      <w:r>
        <w:rPr>
          <w:sz w:val="22"/>
          <w:szCs w:val="22"/>
        </w:rPr>
        <w:t>including the USA proposal on WRC-19 Agenda Item 1.1</w:t>
      </w:r>
      <w:r>
        <w:rPr>
          <w:sz w:val="22"/>
          <w:szCs w:val="22"/>
        </w:rPr>
        <w:t>5</w:t>
      </w:r>
      <w:r>
        <w:rPr>
          <w:sz w:val="22"/>
          <w:szCs w:val="22"/>
        </w:rPr>
        <w:t xml:space="preserve"> for consideration in CITEL’s prepa</w:t>
      </w:r>
      <w:r>
        <w:rPr>
          <w:sz w:val="22"/>
          <w:szCs w:val="22"/>
        </w:rPr>
        <w:t>ration to WRC-19 Agenda Item 1.15</w:t>
      </w:r>
      <w:r>
        <w:rPr>
          <w:sz w:val="22"/>
          <w:szCs w:val="22"/>
        </w:rPr>
        <w:t>.</w:t>
      </w:r>
    </w:p>
    <w:bookmarkEnd w:id="0"/>
    <w:p w:rsidR="00DF6653" w:rsidRDefault="00DF6653" w:rsidP="00EC54C2">
      <w:pPr>
        <w:jc w:val="center"/>
        <w:rPr>
          <w:b/>
          <w:sz w:val="24"/>
        </w:rPr>
      </w:pPr>
      <w:r>
        <w:rPr>
          <w:b/>
          <w:sz w:val="24"/>
        </w:rPr>
        <w:br w:type="page"/>
      </w:r>
      <w:r w:rsidR="00EC54C2">
        <w:rPr>
          <w:b/>
          <w:sz w:val="24"/>
        </w:rPr>
        <w:lastRenderedPageBreak/>
        <w:t>ATTACHMENT</w:t>
      </w:r>
    </w:p>
    <w:p w:rsidR="00EC54C2" w:rsidRDefault="00EC54C2" w:rsidP="00EC54C2">
      <w:pPr>
        <w:jc w:val="center"/>
        <w:rPr>
          <w:b/>
          <w:sz w:val="24"/>
        </w:rPr>
      </w:pPr>
    </w:p>
    <w:p w:rsidR="00EC54C2" w:rsidRPr="00EC54C2" w:rsidRDefault="00EC54C2" w:rsidP="00EC54C2">
      <w:pPr>
        <w:widowControl w:val="0"/>
        <w:autoSpaceDE w:val="0"/>
        <w:autoSpaceDN w:val="0"/>
        <w:adjustRightInd w:val="0"/>
        <w:spacing w:line="316" w:lineRule="exact"/>
        <w:rPr>
          <w:rFonts w:eastAsia="MS Mincho"/>
          <w:i/>
          <w:sz w:val="24"/>
          <w:szCs w:val="24"/>
          <w:lang w:val="en-GB"/>
        </w:rPr>
      </w:pPr>
      <w:r w:rsidRPr="00EC54C2">
        <w:rPr>
          <w:b/>
          <w:bCs/>
          <w:sz w:val="24"/>
          <w:szCs w:val="24"/>
        </w:rPr>
        <w:t>Agenda item 1.15</w:t>
      </w:r>
      <w:r w:rsidRPr="00EC54C2">
        <w:rPr>
          <w:bCs/>
          <w:sz w:val="24"/>
          <w:szCs w:val="24"/>
        </w:rPr>
        <w:t>:</w:t>
      </w:r>
      <w:r w:rsidRPr="00EC54C2">
        <w:rPr>
          <w:b/>
          <w:bCs/>
          <w:sz w:val="24"/>
          <w:szCs w:val="24"/>
        </w:rPr>
        <w:t xml:space="preserve"> </w:t>
      </w:r>
      <w:r w:rsidRPr="00EC54C2">
        <w:rPr>
          <w:rFonts w:eastAsia="MS Mincho"/>
          <w:i/>
          <w:sz w:val="24"/>
          <w:szCs w:val="24"/>
          <w:lang w:val="en-GB"/>
        </w:rPr>
        <w:t xml:space="preserve">to consider identification of frequency bands for use by administrations for the land-mobile and fixed services applications operating in the frequency range 275-450 GHz, in accordance with </w:t>
      </w:r>
      <w:r w:rsidRPr="00EC54C2">
        <w:rPr>
          <w:rFonts w:eastAsia="MS Mincho"/>
          <w:b/>
          <w:i/>
          <w:sz w:val="24"/>
          <w:szCs w:val="24"/>
          <w:lang w:val="en-GB"/>
        </w:rPr>
        <w:t>Resolution 767 (WRC-15)</w:t>
      </w:r>
    </w:p>
    <w:p w:rsidR="00EC54C2" w:rsidRPr="00EC54C2" w:rsidRDefault="00EC54C2" w:rsidP="00EC54C2">
      <w:pPr>
        <w:widowControl w:val="0"/>
        <w:autoSpaceDE w:val="0"/>
        <w:autoSpaceDN w:val="0"/>
        <w:adjustRightInd w:val="0"/>
        <w:rPr>
          <w:b/>
          <w:sz w:val="24"/>
          <w:szCs w:val="24"/>
        </w:rPr>
      </w:pPr>
    </w:p>
    <w:p w:rsidR="00EC54C2" w:rsidRPr="00EC54C2" w:rsidRDefault="00EC54C2" w:rsidP="00EC54C2">
      <w:pPr>
        <w:widowControl w:val="0"/>
        <w:autoSpaceDE w:val="0"/>
        <w:autoSpaceDN w:val="0"/>
        <w:adjustRightInd w:val="0"/>
        <w:spacing w:line="200" w:lineRule="exact"/>
        <w:rPr>
          <w:sz w:val="24"/>
          <w:szCs w:val="24"/>
        </w:rPr>
      </w:pPr>
    </w:p>
    <w:p w:rsidR="00EC54C2" w:rsidRPr="00EC54C2" w:rsidRDefault="00EC54C2" w:rsidP="00EC54C2">
      <w:pPr>
        <w:rPr>
          <w:rFonts w:eastAsia="MS Mincho"/>
          <w:sz w:val="24"/>
          <w:szCs w:val="24"/>
        </w:rPr>
      </w:pPr>
      <w:r w:rsidRPr="00EC54C2">
        <w:rPr>
          <w:b/>
          <w:sz w:val="24"/>
          <w:szCs w:val="24"/>
        </w:rPr>
        <w:t>Background Information</w:t>
      </w:r>
      <w:r w:rsidRPr="00EC54C2">
        <w:rPr>
          <w:sz w:val="24"/>
          <w:szCs w:val="24"/>
        </w:rPr>
        <w:t>: WRC-19 agenda item</w:t>
      </w:r>
      <w:r w:rsidRPr="00EC54C2">
        <w:rPr>
          <w:rFonts w:eastAsia="MS Mincho"/>
          <w:b/>
          <w:bCs/>
          <w:sz w:val="32"/>
          <w:szCs w:val="32"/>
        </w:rPr>
        <w:t xml:space="preserve"> </w:t>
      </w:r>
      <w:r w:rsidRPr="00EC54C2">
        <w:rPr>
          <w:sz w:val="24"/>
          <w:szCs w:val="24"/>
        </w:rPr>
        <w:t xml:space="preserve">1.15 considers the introduction of land-mobile and fixed service applications operating in the frequency range 275-450 GHz.  </w:t>
      </w:r>
      <w:r w:rsidRPr="00EC54C2">
        <w:rPr>
          <w:rFonts w:eastAsia="MS Mincho"/>
          <w:sz w:val="24"/>
          <w:szCs w:val="24"/>
        </w:rPr>
        <w:t xml:space="preserve">At present, there are no allocations to radiocommunications services above 275 GHz in the Radio Regulations (RR’s).  </w:t>
      </w:r>
    </w:p>
    <w:p w:rsidR="00EC54C2" w:rsidRPr="00EC54C2" w:rsidRDefault="00EC54C2" w:rsidP="00EC54C2">
      <w:pPr>
        <w:spacing w:before="120" w:after="120"/>
        <w:rPr>
          <w:rFonts w:eastAsia="MS Mincho"/>
          <w:sz w:val="24"/>
          <w:szCs w:val="24"/>
        </w:rPr>
      </w:pPr>
      <w:r w:rsidRPr="00EC54C2">
        <w:rPr>
          <w:rFonts w:eastAsia="MS Mincho"/>
          <w:sz w:val="24"/>
          <w:szCs w:val="24"/>
        </w:rPr>
        <w:t xml:space="preserve">Recent advances in microwave technology make possible the use of </w:t>
      </w:r>
      <w:r w:rsidRPr="00EC54C2">
        <w:rPr>
          <w:sz w:val="24"/>
          <w:szCs w:val="24"/>
        </w:rPr>
        <w:t>the frequency range 275-450 GHz</w:t>
      </w:r>
      <w:r w:rsidRPr="00EC54C2">
        <w:rPr>
          <w:rFonts w:eastAsia="MS Mincho"/>
          <w:sz w:val="24"/>
          <w:szCs w:val="24"/>
        </w:rPr>
        <w:t xml:space="preserve"> by active services for communications and other uses.  While optical fiber is generally the least expensive terrestrial communications medium in terms of equipment cost per Gb/s-km, there are some applications where fixed radio systems of comparable bandwidth have unique advantages.  In some locations, </w:t>
      </w:r>
      <w:r w:rsidRPr="00EC54C2">
        <w:rPr>
          <w:rFonts w:eastAsia="MS Mincho"/>
          <w:i/>
          <w:sz w:val="24"/>
          <w:szCs w:val="24"/>
        </w:rPr>
        <w:t xml:space="preserve">e.g. </w:t>
      </w:r>
      <w:r w:rsidRPr="00EC54C2">
        <w:rPr>
          <w:rFonts w:eastAsia="MS Mincho"/>
          <w:sz w:val="24"/>
          <w:szCs w:val="24"/>
        </w:rPr>
        <w:t>highly urbanized areas, optical fiber has very high installation costs which greatly exceeds component costs.  Optical fiber cannot be installed quickly in certain place for special events and may not be economical for short-term events at a given location.  Optical fiber has a time latency greater than radio systems due to the index of refraction of the fiber material which results in a group velocity about 25% less than in radio systems.  While for many applications this latency is insignificant, for some applications it is an issue.  Finally, in case of disaster, especially earthquakes with ground rupture along a fault, fiber optics systems cannot be restored quickly and temporary radio systems with comparable capacity would be beneficial in restoring communications networks for both land line service and mobile service.</w:t>
      </w:r>
    </w:p>
    <w:p w:rsidR="00EC54C2" w:rsidRPr="00EC54C2" w:rsidRDefault="00EC54C2" w:rsidP="00EC54C2">
      <w:pPr>
        <w:rPr>
          <w:rFonts w:eastAsia="MS Mincho"/>
          <w:sz w:val="24"/>
          <w:szCs w:val="24"/>
        </w:rPr>
      </w:pPr>
      <w:r w:rsidRPr="00EC54C2">
        <w:rPr>
          <w:rFonts w:eastAsia="MS Mincho"/>
          <w:sz w:val="24"/>
          <w:szCs w:val="24"/>
        </w:rPr>
        <w:t xml:space="preserve">Footnote No. </w:t>
      </w:r>
      <w:r w:rsidRPr="00EC54C2">
        <w:rPr>
          <w:rFonts w:eastAsia="MS Mincho"/>
          <w:b/>
          <w:sz w:val="24"/>
          <w:szCs w:val="24"/>
        </w:rPr>
        <w:t>5.565</w:t>
      </w:r>
      <w:r w:rsidRPr="00EC54C2">
        <w:rPr>
          <w:rFonts w:eastAsia="MS Mincho"/>
          <w:sz w:val="24"/>
          <w:szCs w:val="24"/>
        </w:rPr>
        <w:t xml:space="preserve"> identifies frequency bands in the range 275-450 GHz for use by administrations for radio astronomy, Earth exploration-satellite (passive) and space research (passive) service applications.  Consistent with No. </w:t>
      </w:r>
      <w:r w:rsidRPr="00EC54C2">
        <w:rPr>
          <w:rFonts w:eastAsia="MS Mincho"/>
          <w:b/>
          <w:sz w:val="24"/>
          <w:szCs w:val="24"/>
        </w:rPr>
        <w:t>5.565</w:t>
      </w:r>
      <w:r w:rsidRPr="00EC54C2">
        <w:rPr>
          <w:rFonts w:eastAsia="MS Mincho"/>
          <w:sz w:val="24"/>
          <w:szCs w:val="24"/>
        </w:rPr>
        <w:t xml:space="preserve">, frequencies above 275 GHz can be utilized for active service applications such as those in the fixed and land mobile services, provided “all practicable steps” are taken to protect passive services. </w:t>
      </w:r>
    </w:p>
    <w:p w:rsidR="00EC54C2" w:rsidRPr="00EC54C2" w:rsidRDefault="00EC54C2" w:rsidP="00EC54C2">
      <w:pPr>
        <w:rPr>
          <w:rFonts w:eastAsia="MS Mincho"/>
          <w:sz w:val="24"/>
          <w:szCs w:val="24"/>
        </w:rPr>
      </w:pPr>
    </w:p>
    <w:p w:rsidR="00EC54C2" w:rsidRPr="00EC54C2" w:rsidRDefault="00EC54C2" w:rsidP="00EC54C2">
      <w:pPr>
        <w:spacing w:after="120"/>
        <w:rPr>
          <w:rFonts w:eastAsia="MS Mincho"/>
          <w:sz w:val="24"/>
          <w:szCs w:val="24"/>
        </w:rPr>
      </w:pPr>
      <w:r w:rsidRPr="00EC54C2">
        <w:rPr>
          <w:rFonts w:eastAsia="MS Mincho"/>
          <w:color w:val="000000"/>
          <w:sz w:val="24"/>
          <w:szCs w:val="24"/>
        </w:rPr>
        <w:t xml:space="preserve">The </w:t>
      </w:r>
      <w:r w:rsidRPr="00EC54C2">
        <w:rPr>
          <w:rFonts w:eastAsia="MS Mincho"/>
          <w:sz w:val="24"/>
          <w:szCs w:val="24"/>
        </w:rPr>
        <w:t>studies concerning the compatibility of EESS(passive)/RAS and LMS and FS applications concluded that the following bands can be identified for LMS/FS applications without the need for regulatory restrictions: 275-296 GHz, 306-313 GHz, 320-330 GHz and 356-450GHz. However, in the case where LMS/FS applications will be deployed in the same geographical area as RAS sites, separation distances and/or avoidance angles may be needed (per national arrangements) to protect RAS sites.</w:t>
      </w:r>
    </w:p>
    <w:p w:rsidR="00EC54C2" w:rsidRPr="00EC54C2" w:rsidRDefault="00EC54C2" w:rsidP="00EC54C2">
      <w:pPr>
        <w:widowControl w:val="0"/>
        <w:autoSpaceDE w:val="0"/>
        <w:autoSpaceDN w:val="0"/>
        <w:adjustRightInd w:val="0"/>
        <w:spacing w:line="264" w:lineRule="exact"/>
        <w:rPr>
          <w:sz w:val="24"/>
          <w:szCs w:val="24"/>
        </w:rPr>
      </w:pPr>
    </w:p>
    <w:p w:rsidR="00EC54C2" w:rsidRPr="00EC54C2" w:rsidRDefault="00EC54C2" w:rsidP="00EC54C2">
      <w:pPr>
        <w:widowControl w:val="0"/>
        <w:autoSpaceDE w:val="0"/>
        <w:autoSpaceDN w:val="0"/>
        <w:adjustRightInd w:val="0"/>
        <w:rPr>
          <w:sz w:val="24"/>
          <w:szCs w:val="24"/>
        </w:rPr>
      </w:pPr>
      <w:r w:rsidRPr="00EC54C2">
        <w:rPr>
          <w:b/>
          <w:bCs/>
          <w:sz w:val="24"/>
          <w:szCs w:val="24"/>
        </w:rPr>
        <w:t>Proposals</w:t>
      </w:r>
      <w:r w:rsidRPr="00EC54C2">
        <w:rPr>
          <w:sz w:val="24"/>
          <w:szCs w:val="24"/>
        </w:rPr>
        <w:t>:</w:t>
      </w:r>
    </w:p>
    <w:p w:rsidR="00EC54C2" w:rsidRPr="00EC54C2" w:rsidRDefault="00EC54C2" w:rsidP="00EC54C2">
      <w:pPr>
        <w:widowControl w:val="0"/>
        <w:autoSpaceDE w:val="0"/>
        <w:autoSpaceDN w:val="0"/>
        <w:adjustRightInd w:val="0"/>
        <w:spacing w:line="200" w:lineRule="exact"/>
        <w:rPr>
          <w:sz w:val="24"/>
          <w:szCs w:val="24"/>
        </w:rPr>
      </w:pPr>
    </w:p>
    <w:p w:rsidR="00EC54C2" w:rsidRPr="00EC54C2" w:rsidRDefault="00EC54C2" w:rsidP="00EC54C2">
      <w:pPr>
        <w:widowControl w:val="0"/>
        <w:tabs>
          <w:tab w:val="num" w:pos="2600"/>
        </w:tabs>
        <w:autoSpaceDE w:val="0"/>
        <w:autoSpaceDN w:val="0"/>
        <w:adjustRightInd w:val="0"/>
        <w:rPr>
          <w:sz w:val="24"/>
          <w:szCs w:val="24"/>
        </w:rPr>
      </w:pPr>
      <w:r w:rsidRPr="00EC54C2">
        <w:rPr>
          <w:b/>
          <w:bCs/>
          <w:sz w:val="24"/>
          <w:szCs w:val="24"/>
        </w:rPr>
        <w:t>MOD</w:t>
      </w:r>
      <w:r w:rsidRPr="00EC54C2">
        <w:rPr>
          <w:sz w:val="24"/>
          <w:szCs w:val="24"/>
        </w:rPr>
        <w:tab/>
      </w:r>
      <w:r w:rsidRPr="00EC54C2">
        <w:rPr>
          <w:b/>
          <w:bCs/>
          <w:sz w:val="24"/>
          <w:szCs w:val="24"/>
        </w:rPr>
        <w:t>USA/1.15/1</w:t>
      </w:r>
    </w:p>
    <w:p w:rsidR="00EC54C2" w:rsidRPr="00EC54C2" w:rsidRDefault="00EC54C2" w:rsidP="00EC54C2">
      <w:pPr>
        <w:widowControl w:val="0"/>
        <w:autoSpaceDE w:val="0"/>
        <w:autoSpaceDN w:val="0"/>
        <w:adjustRightInd w:val="0"/>
        <w:spacing w:line="120" w:lineRule="exact"/>
        <w:rPr>
          <w:sz w:val="24"/>
          <w:szCs w:val="24"/>
        </w:rPr>
      </w:pPr>
    </w:p>
    <w:p w:rsidR="00EC54C2" w:rsidRPr="00EC54C2" w:rsidRDefault="00EC54C2" w:rsidP="00EC54C2">
      <w:pPr>
        <w:keepNext/>
        <w:keepLines/>
        <w:tabs>
          <w:tab w:val="left" w:pos="1134"/>
          <w:tab w:val="left" w:pos="1871"/>
          <w:tab w:val="left" w:pos="2268"/>
        </w:tabs>
        <w:overflowPunct w:val="0"/>
        <w:autoSpaceDE w:val="0"/>
        <w:autoSpaceDN w:val="0"/>
        <w:adjustRightInd w:val="0"/>
        <w:jc w:val="center"/>
        <w:outlineLvl w:val="0"/>
        <w:rPr>
          <w:caps/>
          <w:color w:val="000000"/>
          <w:sz w:val="28"/>
          <w:lang w:val="en-AU"/>
        </w:rPr>
      </w:pPr>
      <w:r w:rsidRPr="00EC54C2">
        <w:rPr>
          <w:caps/>
          <w:color w:val="000000"/>
          <w:sz w:val="28"/>
          <w:lang w:val="en-AU"/>
        </w:rPr>
        <w:t>ARTICLE 5</w:t>
      </w:r>
    </w:p>
    <w:p w:rsidR="00EC54C2" w:rsidRPr="00EC54C2" w:rsidRDefault="00EC54C2" w:rsidP="00EC54C2">
      <w:pPr>
        <w:keepNext/>
        <w:keepLines/>
        <w:tabs>
          <w:tab w:val="left" w:pos="1134"/>
          <w:tab w:val="left" w:pos="1871"/>
          <w:tab w:val="left" w:pos="2268"/>
        </w:tabs>
        <w:overflowPunct w:val="0"/>
        <w:autoSpaceDE w:val="0"/>
        <w:autoSpaceDN w:val="0"/>
        <w:adjustRightInd w:val="0"/>
        <w:spacing w:before="240"/>
        <w:jc w:val="center"/>
        <w:rPr>
          <w:b/>
          <w:color w:val="000000"/>
          <w:sz w:val="28"/>
          <w:lang w:val="en-GB"/>
        </w:rPr>
      </w:pPr>
      <w:r w:rsidRPr="00EC54C2">
        <w:rPr>
          <w:b/>
          <w:color w:val="000000"/>
          <w:sz w:val="28"/>
          <w:lang w:val="en-GB"/>
        </w:rPr>
        <w:t>Frequency allocations</w:t>
      </w:r>
    </w:p>
    <w:p w:rsidR="00EC54C2" w:rsidRPr="00EC54C2" w:rsidRDefault="00EC54C2" w:rsidP="00EC54C2">
      <w:pPr>
        <w:rPr>
          <w:rFonts w:ascii="Calibri" w:eastAsia="MS Mincho" w:hAnsi="Calibri"/>
          <w:sz w:val="24"/>
          <w:szCs w:val="24"/>
          <w:lang w:val="en-GB"/>
        </w:rPr>
      </w:pPr>
    </w:p>
    <w:p w:rsidR="00EC54C2" w:rsidRPr="00EC54C2" w:rsidRDefault="00EC54C2" w:rsidP="00EC54C2">
      <w:pPr>
        <w:jc w:val="center"/>
        <w:rPr>
          <w:rFonts w:eastAsia="MS Mincho"/>
          <w:b/>
          <w:sz w:val="24"/>
          <w:szCs w:val="24"/>
          <w:lang w:val="en-AU"/>
        </w:rPr>
      </w:pPr>
      <w:r w:rsidRPr="00EC54C2">
        <w:rPr>
          <w:rFonts w:eastAsia="MS Mincho"/>
          <w:b/>
          <w:sz w:val="24"/>
          <w:szCs w:val="24"/>
          <w:lang w:val="en-AU"/>
        </w:rPr>
        <w:lastRenderedPageBreak/>
        <w:t>Section IV –  Table of Frequency Allocations</w:t>
      </w:r>
      <w:r w:rsidRPr="00EC54C2">
        <w:rPr>
          <w:rFonts w:eastAsia="MS Mincho"/>
          <w:b/>
          <w:sz w:val="24"/>
          <w:szCs w:val="24"/>
          <w:lang w:val="en-AU"/>
        </w:rPr>
        <w:br/>
      </w:r>
      <w:r w:rsidRPr="00EC54C2">
        <w:rPr>
          <w:rFonts w:eastAsia="MS Mincho"/>
          <w:b/>
          <w:sz w:val="24"/>
          <w:szCs w:val="24"/>
        </w:rPr>
        <w:tab/>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7"/>
        <w:gridCol w:w="3099"/>
        <w:gridCol w:w="3104"/>
      </w:tblGrid>
      <w:tr w:rsidR="00EC54C2" w:rsidRPr="00EC54C2" w:rsidTr="00EC54C2">
        <w:trPr>
          <w:cantSplit/>
          <w:jc w:val="center"/>
        </w:trPr>
        <w:tc>
          <w:tcPr>
            <w:tcW w:w="9304" w:type="dxa"/>
            <w:gridSpan w:val="3"/>
            <w:tcBorders>
              <w:top w:val="nil"/>
              <w:left w:val="nil"/>
              <w:bottom w:val="single" w:sz="4" w:space="0" w:color="auto"/>
              <w:right w:val="nil"/>
            </w:tcBorders>
            <w:hideMark/>
          </w:tcPr>
          <w:p w:rsidR="00EC54C2" w:rsidRPr="00EC54C2" w:rsidRDefault="00EC54C2" w:rsidP="00EC54C2">
            <w:pPr>
              <w:keepNext/>
              <w:keepLines/>
              <w:tabs>
                <w:tab w:val="left" w:pos="1134"/>
                <w:tab w:val="left" w:pos="1871"/>
                <w:tab w:val="left" w:pos="2268"/>
              </w:tabs>
              <w:overflowPunct w:val="0"/>
              <w:autoSpaceDE w:val="0"/>
              <w:autoSpaceDN w:val="0"/>
              <w:adjustRightInd w:val="0"/>
              <w:spacing w:after="120" w:line="256" w:lineRule="auto"/>
              <w:jc w:val="center"/>
              <w:rPr>
                <w:rFonts w:ascii="Times New Roman Bold" w:hAnsi="Times New Roman Bold"/>
                <w:b/>
                <w:lang w:val="en-GB"/>
              </w:rPr>
            </w:pPr>
            <w:r w:rsidRPr="00EC54C2">
              <w:rPr>
                <w:rFonts w:ascii="Times New Roman Bold" w:hAnsi="Times New Roman Bold"/>
                <w:b/>
                <w:lang w:val="en-GB"/>
              </w:rPr>
              <w:t>248-3 000 GHz</w:t>
            </w:r>
          </w:p>
        </w:tc>
      </w:tr>
      <w:tr w:rsidR="00EC54C2" w:rsidRPr="00EC54C2" w:rsidTr="00EC54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C54C2" w:rsidRPr="00EC54C2" w:rsidRDefault="00EC54C2" w:rsidP="00EC54C2">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hAnsi="Times New Roman Bold" w:cs="Times New Roman Bold"/>
                <w:b/>
                <w:lang w:val="en-GB"/>
              </w:rPr>
            </w:pPr>
            <w:r w:rsidRPr="00EC54C2">
              <w:rPr>
                <w:rFonts w:ascii="Times New Roman Bold" w:hAnsi="Times New Roman Bold" w:cs="Times New Roman Bold"/>
                <w:b/>
                <w:lang w:val="en-GB"/>
              </w:rPr>
              <w:t>Allocation to services</w:t>
            </w:r>
          </w:p>
        </w:tc>
      </w:tr>
      <w:tr w:rsidR="00EC54C2" w:rsidRPr="00EC54C2" w:rsidTr="00EC54C2">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EC54C2" w:rsidRPr="00EC54C2" w:rsidRDefault="00EC54C2" w:rsidP="00EC54C2">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hAnsi="Times New Roman Bold" w:cs="Times New Roman Bold"/>
                <w:b/>
                <w:lang w:val="en-GB"/>
              </w:rPr>
            </w:pPr>
            <w:r w:rsidRPr="00EC54C2">
              <w:rPr>
                <w:rFonts w:ascii="Times New Roman Bold" w:hAnsi="Times New Roman Bold" w:cs="Times New Roman Bold"/>
                <w:b/>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rsidR="00EC54C2" w:rsidRPr="00EC54C2" w:rsidRDefault="00EC54C2" w:rsidP="00EC54C2">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hAnsi="Times New Roman Bold" w:cs="Times New Roman Bold"/>
                <w:b/>
                <w:lang w:val="en-GB"/>
              </w:rPr>
            </w:pPr>
            <w:r w:rsidRPr="00EC54C2">
              <w:rPr>
                <w:rFonts w:ascii="Times New Roman Bold" w:hAnsi="Times New Roman Bold" w:cs="Times New Roman Bold"/>
                <w:b/>
                <w:lang w:val="en-GB"/>
              </w:rPr>
              <w:t>Region 2</w:t>
            </w:r>
          </w:p>
        </w:tc>
        <w:tc>
          <w:tcPr>
            <w:tcW w:w="3105" w:type="dxa"/>
            <w:tcBorders>
              <w:top w:val="single" w:sz="4" w:space="0" w:color="auto"/>
              <w:left w:val="single" w:sz="4" w:space="0" w:color="auto"/>
              <w:bottom w:val="single" w:sz="4" w:space="0" w:color="auto"/>
              <w:right w:val="single" w:sz="4" w:space="0" w:color="auto"/>
            </w:tcBorders>
            <w:hideMark/>
          </w:tcPr>
          <w:p w:rsidR="00EC54C2" w:rsidRPr="00EC54C2" w:rsidRDefault="00EC54C2" w:rsidP="00EC54C2">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hAnsi="Times New Roman Bold" w:cs="Times New Roman Bold"/>
                <w:b/>
                <w:lang w:val="en-GB"/>
              </w:rPr>
            </w:pPr>
            <w:r w:rsidRPr="00EC54C2">
              <w:rPr>
                <w:rFonts w:ascii="Times New Roman Bold" w:hAnsi="Times New Roman Bold" w:cs="Times New Roman Bold"/>
                <w:b/>
                <w:lang w:val="en-GB"/>
              </w:rPr>
              <w:t>Region 3</w:t>
            </w:r>
          </w:p>
        </w:tc>
      </w:tr>
      <w:tr w:rsidR="00EC54C2" w:rsidRPr="00EC54C2" w:rsidTr="00EC54C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C54C2" w:rsidRPr="00EC54C2" w:rsidRDefault="00EC54C2" w:rsidP="00EC54C2">
            <w:pPr>
              <w:tabs>
                <w:tab w:val="left" w:pos="170"/>
                <w:tab w:val="left" w:pos="567"/>
                <w:tab w:val="left" w:pos="737"/>
                <w:tab w:val="left" w:pos="2977"/>
                <w:tab w:val="left" w:pos="3266"/>
              </w:tabs>
              <w:overflowPunct w:val="0"/>
              <w:autoSpaceDE w:val="0"/>
              <w:autoSpaceDN w:val="0"/>
              <w:adjustRightInd w:val="0"/>
              <w:spacing w:before="40" w:after="40" w:line="256" w:lineRule="auto"/>
              <w:ind w:left="170" w:hanging="170"/>
              <w:rPr>
                <w:caps/>
                <w:color w:val="000000"/>
                <w:lang w:val="en-GB"/>
              </w:rPr>
            </w:pPr>
            <w:r w:rsidRPr="00EC54C2">
              <w:rPr>
                <w:b/>
                <w:lang w:val="en-GB"/>
              </w:rPr>
              <w:t>275-3 000</w:t>
            </w:r>
            <w:r w:rsidRPr="00EC54C2">
              <w:rPr>
                <w:color w:val="000000"/>
                <w:lang w:val="en-GB"/>
              </w:rPr>
              <w:tab/>
              <w:t xml:space="preserve">(Not allocated)  5.565, </w:t>
            </w:r>
            <w:r w:rsidRPr="00EC54C2">
              <w:rPr>
                <w:color w:val="000000"/>
                <w:u w:val="single"/>
                <w:lang w:val="en-GB"/>
              </w:rPr>
              <w:t>ADD 5.A115</w:t>
            </w:r>
          </w:p>
        </w:tc>
      </w:tr>
    </w:tbl>
    <w:p w:rsidR="00EC54C2" w:rsidRPr="00EC54C2" w:rsidRDefault="00EC54C2" w:rsidP="00EC54C2">
      <w:pPr>
        <w:widowControl w:val="0"/>
        <w:tabs>
          <w:tab w:val="num" w:pos="2600"/>
        </w:tabs>
        <w:autoSpaceDE w:val="0"/>
        <w:autoSpaceDN w:val="0"/>
        <w:adjustRightInd w:val="0"/>
        <w:rPr>
          <w:b/>
          <w:bCs/>
          <w:sz w:val="24"/>
          <w:szCs w:val="24"/>
        </w:rPr>
      </w:pPr>
    </w:p>
    <w:p w:rsidR="00EC54C2" w:rsidRPr="00EC54C2" w:rsidRDefault="00EC54C2" w:rsidP="00EC54C2">
      <w:pPr>
        <w:widowControl w:val="0"/>
        <w:tabs>
          <w:tab w:val="num" w:pos="2600"/>
        </w:tabs>
        <w:autoSpaceDE w:val="0"/>
        <w:autoSpaceDN w:val="0"/>
        <w:adjustRightInd w:val="0"/>
        <w:rPr>
          <w:sz w:val="24"/>
          <w:szCs w:val="24"/>
        </w:rPr>
      </w:pPr>
      <w:r w:rsidRPr="00EC54C2">
        <w:rPr>
          <w:b/>
          <w:bCs/>
          <w:sz w:val="24"/>
          <w:szCs w:val="24"/>
        </w:rPr>
        <w:t>ADD</w:t>
      </w:r>
      <w:r w:rsidRPr="00EC54C2">
        <w:rPr>
          <w:sz w:val="24"/>
          <w:szCs w:val="24"/>
        </w:rPr>
        <w:t xml:space="preserve">   </w:t>
      </w:r>
      <w:r w:rsidRPr="00EC54C2">
        <w:rPr>
          <w:b/>
          <w:bCs/>
          <w:sz w:val="24"/>
          <w:szCs w:val="24"/>
        </w:rPr>
        <w:t>USA/1.15/2</w:t>
      </w:r>
    </w:p>
    <w:p w:rsidR="00EC54C2" w:rsidRPr="00EC54C2" w:rsidRDefault="00EC54C2" w:rsidP="00EC54C2">
      <w:pPr>
        <w:keepNext/>
        <w:tabs>
          <w:tab w:val="center" w:pos="4820"/>
        </w:tabs>
        <w:overflowPunct w:val="0"/>
        <w:autoSpaceDE w:val="0"/>
        <w:autoSpaceDN w:val="0"/>
        <w:adjustRightInd w:val="0"/>
        <w:spacing w:before="360" w:after="120"/>
        <w:textAlignment w:val="baseline"/>
        <w:rPr>
          <w:sz w:val="24"/>
          <w:lang w:val="en-GB"/>
        </w:rPr>
      </w:pPr>
      <w:r w:rsidRPr="00EC54C2">
        <w:rPr>
          <w:rFonts w:eastAsia="MS Mincho"/>
          <w:b/>
          <w:bCs/>
          <w:sz w:val="24"/>
          <w:szCs w:val="24"/>
          <w:lang w:val="en-GB"/>
        </w:rPr>
        <w:t>5.A115</w:t>
      </w:r>
      <w:r w:rsidRPr="00EC54C2">
        <w:rPr>
          <w:rFonts w:eastAsia="MS Mincho"/>
          <w:sz w:val="24"/>
          <w:szCs w:val="24"/>
          <w:lang w:val="en-GB"/>
        </w:rPr>
        <w:tab/>
        <w:t xml:space="preserve"> </w:t>
      </w:r>
      <w:r w:rsidRPr="00EC54C2">
        <w:rPr>
          <w:sz w:val="24"/>
          <w:lang w:val="en-GB"/>
        </w:rPr>
        <w:t xml:space="preserve">  The following frequency ranges are identified for use by administrations for land-mobile and fixed service applications:</w:t>
      </w:r>
    </w:p>
    <w:p w:rsidR="00EC54C2" w:rsidRPr="00EC54C2" w:rsidRDefault="00EC54C2" w:rsidP="00EC54C2">
      <w:pPr>
        <w:tabs>
          <w:tab w:val="left" w:pos="1134"/>
          <w:tab w:val="left" w:pos="1871"/>
          <w:tab w:val="left" w:pos="2268"/>
          <w:tab w:val="left" w:pos="2608"/>
          <w:tab w:val="left" w:pos="3345"/>
        </w:tabs>
        <w:overflowPunct w:val="0"/>
        <w:autoSpaceDE w:val="0"/>
        <w:autoSpaceDN w:val="0"/>
        <w:adjustRightInd w:val="0"/>
        <w:spacing w:before="80" w:after="120"/>
        <w:ind w:left="1134" w:hanging="1134"/>
        <w:textAlignment w:val="baseline"/>
        <w:rPr>
          <w:sz w:val="24"/>
          <w:lang w:val="en-GB"/>
        </w:rPr>
      </w:pPr>
      <w:r w:rsidRPr="00EC54C2">
        <w:rPr>
          <w:sz w:val="24"/>
          <w:lang w:val="en-GB"/>
        </w:rPr>
        <w:t>–</w:t>
      </w:r>
      <w:r w:rsidRPr="00EC54C2">
        <w:rPr>
          <w:sz w:val="24"/>
          <w:lang w:val="en-GB"/>
        </w:rPr>
        <w:tab/>
      </w:r>
      <w:r w:rsidRPr="00EC54C2">
        <w:rPr>
          <w:sz w:val="24"/>
          <w:lang w:val="en-GB"/>
        </w:rPr>
        <w:tab/>
        <w:t xml:space="preserve"> 275-296 GHz, 306-313 GHz, 320-330 GHz and 356-450 GHz.</w:t>
      </w:r>
    </w:p>
    <w:p w:rsidR="00EC54C2" w:rsidRPr="00EC54C2" w:rsidRDefault="00EC54C2" w:rsidP="00EC54C2">
      <w:pPr>
        <w:rPr>
          <w:sz w:val="24"/>
          <w:szCs w:val="24"/>
        </w:rPr>
      </w:pPr>
    </w:p>
    <w:p w:rsidR="00EC54C2" w:rsidRPr="00EC54C2" w:rsidRDefault="00EC54C2" w:rsidP="00EC54C2">
      <w:pPr>
        <w:rPr>
          <w:rFonts w:eastAsia="SimSun"/>
          <w:bCs/>
          <w:sz w:val="24"/>
          <w:szCs w:val="24"/>
          <w:lang w:eastAsia="zh-CN"/>
        </w:rPr>
      </w:pPr>
      <w:r w:rsidRPr="00EC54C2">
        <w:rPr>
          <w:rFonts w:eastAsia="SimSun"/>
          <w:b/>
          <w:bCs/>
          <w:sz w:val="24"/>
          <w:szCs w:val="24"/>
          <w:lang w:eastAsia="zh-CN"/>
        </w:rPr>
        <w:t>Reasons</w:t>
      </w:r>
      <w:r w:rsidRPr="00EC54C2">
        <w:rPr>
          <w:rFonts w:eastAsia="SimSun"/>
          <w:bCs/>
          <w:sz w:val="24"/>
          <w:szCs w:val="24"/>
          <w:lang w:eastAsia="zh-CN"/>
        </w:rPr>
        <w:t xml:space="preserve">: </w:t>
      </w:r>
      <w:r w:rsidRPr="00EC54C2">
        <w:rPr>
          <w:rFonts w:eastAsia="SimSun"/>
          <w:b/>
          <w:bCs/>
          <w:sz w:val="24"/>
          <w:szCs w:val="24"/>
          <w:lang w:eastAsia="zh-CN"/>
        </w:rPr>
        <w:t xml:space="preserve">   </w:t>
      </w:r>
      <w:r w:rsidRPr="00EC54C2">
        <w:rPr>
          <w:rFonts w:eastAsia="SimSun"/>
          <w:bCs/>
          <w:sz w:val="24"/>
          <w:szCs w:val="24"/>
          <w:lang w:eastAsia="zh-CN"/>
        </w:rPr>
        <w:t xml:space="preserve">While much of the spectrum in 275-450 GHz has been previously identified in No. </w:t>
      </w:r>
      <w:r w:rsidRPr="00EC54C2">
        <w:rPr>
          <w:rFonts w:eastAsia="SimSun"/>
          <w:b/>
          <w:bCs/>
          <w:sz w:val="24"/>
          <w:szCs w:val="24"/>
          <w:lang w:eastAsia="zh-CN"/>
        </w:rPr>
        <w:t>5.565</w:t>
      </w:r>
      <w:r w:rsidRPr="00EC54C2">
        <w:rPr>
          <w:rFonts w:eastAsia="SimSun"/>
          <w:bCs/>
          <w:sz w:val="24"/>
          <w:szCs w:val="24"/>
          <w:lang w:eastAsia="zh-CN"/>
        </w:rPr>
        <w:t xml:space="preserve"> for Earth exploration-satellite service (passive) and space research service (passive), compatibility studies in ITU-R have shown that sharing of these bands between passive users and terrestrial use is possible under the existing provisions of No.</w:t>
      </w:r>
      <w:r w:rsidRPr="00EC54C2">
        <w:rPr>
          <w:rFonts w:eastAsia="SimSun"/>
          <w:b/>
          <w:bCs/>
          <w:sz w:val="24"/>
          <w:szCs w:val="24"/>
          <w:lang w:eastAsia="zh-CN"/>
        </w:rPr>
        <w:t xml:space="preserve"> 5.565, </w:t>
      </w:r>
      <w:r w:rsidRPr="00EC54C2">
        <w:rPr>
          <w:rFonts w:eastAsia="SimSun"/>
          <w:bCs/>
          <w:sz w:val="24"/>
          <w:szCs w:val="24"/>
          <w:lang w:eastAsia="zh-CN"/>
        </w:rPr>
        <w:t>which are unchanged here.</w:t>
      </w:r>
    </w:p>
    <w:p w:rsidR="00EC54C2" w:rsidRPr="00EC54C2" w:rsidRDefault="00EC54C2" w:rsidP="00EC54C2">
      <w:pPr>
        <w:rPr>
          <w:rFonts w:eastAsia="SimSun"/>
          <w:bCs/>
          <w:sz w:val="24"/>
          <w:szCs w:val="24"/>
          <w:lang w:eastAsia="zh-CN"/>
        </w:rPr>
      </w:pPr>
    </w:p>
    <w:p w:rsidR="00EC54C2" w:rsidRPr="00EC54C2" w:rsidRDefault="00EC54C2" w:rsidP="00EC54C2">
      <w:pPr>
        <w:keepNext/>
        <w:tabs>
          <w:tab w:val="left" w:pos="1134"/>
          <w:tab w:val="left" w:pos="1871"/>
          <w:tab w:val="left" w:pos="2268"/>
        </w:tabs>
        <w:overflowPunct w:val="0"/>
        <w:autoSpaceDE w:val="0"/>
        <w:autoSpaceDN w:val="0"/>
        <w:adjustRightInd w:val="0"/>
        <w:spacing w:before="240" w:after="120"/>
        <w:textAlignment w:val="baseline"/>
        <w:rPr>
          <w:rFonts w:hAnsi="Times New Roman Bold"/>
          <w:b/>
          <w:sz w:val="24"/>
          <w:lang w:val="en-GB"/>
        </w:rPr>
      </w:pPr>
      <w:r w:rsidRPr="00EC54C2">
        <w:rPr>
          <w:rFonts w:hAnsi="Times New Roman Bold"/>
          <w:b/>
          <w:sz w:val="24"/>
          <w:u w:val="single"/>
          <w:lang w:val="en-GB"/>
        </w:rPr>
        <w:t>NOC</w:t>
      </w:r>
      <w:r w:rsidRPr="00EC54C2">
        <w:rPr>
          <w:rFonts w:hAnsi="Times New Roman Bold"/>
          <w:b/>
          <w:sz w:val="24"/>
          <w:lang w:val="en-GB"/>
        </w:rPr>
        <w:tab/>
        <w:t>USA/1.15/3</w:t>
      </w:r>
    </w:p>
    <w:p w:rsidR="00EC54C2" w:rsidRPr="00EC54C2" w:rsidRDefault="00EC54C2" w:rsidP="00EC54C2">
      <w:pPr>
        <w:keepNext/>
        <w:tabs>
          <w:tab w:val="left" w:pos="1134"/>
          <w:tab w:val="left" w:pos="1871"/>
          <w:tab w:val="left" w:pos="2268"/>
        </w:tabs>
        <w:overflowPunct w:val="0"/>
        <w:autoSpaceDE w:val="0"/>
        <w:autoSpaceDN w:val="0"/>
        <w:adjustRightInd w:val="0"/>
        <w:spacing w:before="240" w:after="120"/>
        <w:textAlignment w:val="baseline"/>
        <w:rPr>
          <w:rFonts w:hAnsi="Times New Roman Bold"/>
          <w:b/>
          <w:sz w:val="24"/>
          <w:lang w:val="en-GB"/>
        </w:rPr>
      </w:pPr>
      <w:r w:rsidRPr="00EC54C2">
        <w:rPr>
          <w:rFonts w:hAnsi="Times New Roman Bold"/>
          <w:b/>
          <w:sz w:val="24"/>
          <w:lang w:val="en-GB"/>
        </w:rPr>
        <w:t>5.565</w:t>
      </w:r>
    </w:p>
    <w:p w:rsidR="00EC54C2" w:rsidRPr="00EC54C2" w:rsidRDefault="00EC54C2" w:rsidP="00EC54C2">
      <w:pPr>
        <w:keepNext/>
        <w:tabs>
          <w:tab w:val="left" w:pos="1134"/>
          <w:tab w:val="left" w:pos="1871"/>
          <w:tab w:val="left" w:pos="2268"/>
        </w:tabs>
        <w:overflowPunct w:val="0"/>
        <w:autoSpaceDE w:val="0"/>
        <w:autoSpaceDN w:val="0"/>
        <w:adjustRightInd w:val="0"/>
        <w:spacing w:before="240" w:after="120"/>
        <w:textAlignment w:val="baseline"/>
        <w:rPr>
          <w:rFonts w:hAnsi="Times New Roman Bold"/>
          <w:sz w:val="24"/>
          <w:lang w:val="en-GB"/>
        </w:rPr>
      </w:pPr>
      <w:r w:rsidRPr="00EC54C2">
        <w:rPr>
          <w:rFonts w:hAnsi="Times New Roman Bold"/>
          <w:b/>
          <w:sz w:val="24"/>
          <w:lang w:val="en-GB"/>
        </w:rPr>
        <w:t>Reasons:</w:t>
      </w:r>
      <w:r w:rsidRPr="00EC54C2">
        <w:rPr>
          <w:rFonts w:hAnsi="Times New Roman Bold"/>
          <w:b/>
          <w:sz w:val="24"/>
          <w:lang w:val="en-GB"/>
        </w:rPr>
        <w:tab/>
      </w:r>
      <w:r w:rsidRPr="00EC54C2">
        <w:rPr>
          <w:rFonts w:hAnsi="Times New Roman Bold"/>
          <w:sz w:val="24"/>
          <w:lang w:val="en-GB"/>
        </w:rPr>
        <w:t xml:space="preserve">Modifications to No. </w:t>
      </w:r>
      <w:r w:rsidRPr="00EC54C2">
        <w:rPr>
          <w:rFonts w:hAnsi="Times New Roman Bold"/>
          <w:b/>
          <w:sz w:val="24"/>
          <w:lang w:val="en-GB"/>
        </w:rPr>
        <w:t>5.565</w:t>
      </w:r>
      <w:r w:rsidRPr="00EC54C2">
        <w:rPr>
          <w:rFonts w:hAnsi="Times New Roman Bold"/>
          <w:sz w:val="24"/>
          <w:lang w:val="en-GB"/>
        </w:rPr>
        <w:t xml:space="preserve"> are not necessary as the addition of fixed and land-mobile active services to the 275-450 GHz frequency range can be accomplished through the addition of a new footnote.</w:t>
      </w:r>
    </w:p>
    <w:p w:rsidR="00EC54C2" w:rsidRPr="00EC54C2" w:rsidRDefault="00EC54C2" w:rsidP="00EC54C2">
      <w:pPr>
        <w:rPr>
          <w:rFonts w:eastAsia="SimSun"/>
          <w:bCs/>
          <w:sz w:val="24"/>
          <w:szCs w:val="24"/>
          <w:lang w:eastAsia="zh-CN"/>
        </w:rPr>
      </w:pPr>
    </w:p>
    <w:p w:rsidR="00EC54C2" w:rsidRPr="00EC54C2" w:rsidRDefault="00EC54C2" w:rsidP="00EC54C2">
      <w:pPr>
        <w:rPr>
          <w:rFonts w:eastAsia="SimSun"/>
          <w:sz w:val="24"/>
          <w:szCs w:val="24"/>
          <w:lang w:eastAsia="zh-CN"/>
        </w:rPr>
      </w:pPr>
    </w:p>
    <w:p w:rsidR="00EC54C2" w:rsidRPr="00EC54C2" w:rsidRDefault="00EC54C2" w:rsidP="00EC54C2">
      <w:pPr>
        <w:rPr>
          <w:b/>
          <w:sz w:val="24"/>
          <w:szCs w:val="24"/>
        </w:rPr>
      </w:pPr>
      <w:r w:rsidRPr="00EC54C2">
        <w:rPr>
          <w:b/>
          <w:sz w:val="24"/>
          <w:szCs w:val="24"/>
        </w:rPr>
        <w:t>SUP</w:t>
      </w:r>
      <w:r w:rsidRPr="00EC54C2">
        <w:rPr>
          <w:b/>
          <w:sz w:val="24"/>
          <w:szCs w:val="24"/>
        </w:rPr>
        <w:tab/>
      </w:r>
      <w:r>
        <w:rPr>
          <w:b/>
          <w:sz w:val="24"/>
          <w:szCs w:val="24"/>
        </w:rPr>
        <w:t xml:space="preserve">    </w:t>
      </w:r>
      <w:bookmarkStart w:id="1" w:name="_GoBack"/>
      <w:bookmarkEnd w:id="1"/>
      <w:r w:rsidRPr="00EC54C2">
        <w:rPr>
          <w:b/>
          <w:sz w:val="24"/>
          <w:szCs w:val="24"/>
        </w:rPr>
        <w:t>USA/1.15/4</w:t>
      </w:r>
    </w:p>
    <w:p w:rsidR="00EC54C2" w:rsidRPr="00EC54C2" w:rsidRDefault="00EC54C2" w:rsidP="00EC54C2">
      <w:pPr>
        <w:ind w:firstLine="720"/>
        <w:jc w:val="center"/>
        <w:rPr>
          <w:rFonts w:eastAsia="SimSun"/>
          <w:sz w:val="24"/>
          <w:szCs w:val="24"/>
          <w:lang w:eastAsia="zh-CN"/>
        </w:rPr>
      </w:pPr>
    </w:p>
    <w:p w:rsidR="00EC54C2" w:rsidRPr="00EC54C2" w:rsidRDefault="00EC54C2" w:rsidP="00EC54C2">
      <w:pPr>
        <w:keepNext/>
        <w:keepLines/>
        <w:tabs>
          <w:tab w:val="left" w:pos="1134"/>
          <w:tab w:val="left" w:pos="1871"/>
          <w:tab w:val="left" w:pos="2268"/>
        </w:tabs>
        <w:overflowPunct w:val="0"/>
        <w:autoSpaceDE w:val="0"/>
        <w:autoSpaceDN w:val="0"/>
        <w:adjustRightInd w:val="0"/>
        <w:spacing w:before="480"/>
        <w:jc w:val="center"/>
        <w:rPr>
          <w:caps/>
          <w:sz w:val="28"/>
          <w:lang w:val="en-GB"/>
        </w:rPr>
      </w:pPr>
      <w:bookmarkStart w:id="2" w:name="_Toc450048850"/>
      <w:r w:rsidRPr="00EC54C2">
        <w:rPr>
          <w:caps/>
          <w:sz w:val="28"/>
          <w:lang w:val="en-GB"/>
        </w:rPr>
        <w:t>RESOLUTION 767 (WRC-15)</w:t>
      </w:r>
      <w:bookmarkEnd w:id="2"/>
    </w:p>
    <w:p w:rsidR="00EC54C2" w:rsidRPr="00EC54C2" w:rsidRDefault="00EC54C2" w:rsidP="00EC54C2">
      <w:pPr>
        <w:keepNext/>
        <w:keepLines/>
        <w:tabs>
          <w:tab w:val="left" w:pos="1134"/>
          <w:tab w:val="left" w:pos="1871"/>
          <w:tab w:val="left" w:pos="2268"/>
        </w:tabs>
        <w:overflowPunct w:val="0"/>
        <w:autoSpaceDE w:val="0"/>
        <w:autoSpaceDN w:val="0"/>
        <w:adjustRightInd w:val="0"/>
        <w:spacing w:before="240"/>
        <w:jc w:val="center"/>
        <w:rPr>
          <w:rFonts w:ascii="Times New Roman Bold" w:hAnsi="Times New Roman Bold"/>
          <w:b/>
          <w:sz w:val="28"/>
          <w:lang w:val="en-GB"/>
        </w:rPr>
      </w:pPr>
      <w:bookmarkStart w:id="3" w:name="_Toc450048851"/>
      <w:r w:rsidRPr="00EC54C2">
        <w:rPr>
          <w:rFonts w:ascii="Times New Roman Bold" w:hAnsi="Times New Roman Bold"/>
          <w:b/>
          <w:sz w:val="28"/>
          <w:lang w:val="en-GB"/>
        </w:rPr>
        <w:t>Studies towards an identification for use by administrations for land-mobile and fixed services applications operating in the frequency range 275-450 GHz</w:t>
      </w:r>
      <w:bookmarkEnd w:id="3"/>
    </w:p>
    <w:p w:rsidR="00EC54C2" w:rsidRPr="00EC54C2" w:rsidRDefault="00EC54C2" w:rsidP="00EC54C2">
      <w:pPr>
        <w:tabs>
          <w:tab w:val="left" w:pos="1134"/>
          <w:tab w:val="left" w:pos="1871"/>
          <w:tab w:val="left" w:pos="2268"/>
        </w:tabs>
        <w:overflowPunct w:val="0"/>
        <w:autoSpaceDE w:val="0"/>
        <w:autoSpaceDN w:val="0"/>
        <w:adjustRightInd w:val="0"/>
        <w:spacing w:before="280"/>
        <w:rPr>
          <w:sz w:val="24"/>
          <w:lang w:val="en-GB"/>
        </w:rPr>
      </w:pPr>
      <w:r w:rsidRPr="00EC54C2">
        <w:rPr>
          <w:sz w:val="24"/>
          <w:lang w:val="en-GB"/>
        </w:rPr>
        <w:t>The World Radiocommunication Conference (Geneva, 2015),</w:t>
      </w:r>
    </w:p>
    <w:p w:rsidR="00EC54C2" w:rsidRPr="00EC54C2" w:rsidRDefault="00EC54C2" w:rsidP="00EC54C2">
      <w:pPr>
        <w:tabs>
          <w:tab w:val="left" w:pos="1134"/>
          <w:tab w:val="left" w:pos="1588"/>
          <w:tab w:val="left" w:pos="1985"/>
        </w:tabs>
        <w:overflowPunct w:val="0"/>
        <w:autoSpaceDE w:val="0"/>
        <w:autoSpaceDN w:val="0"/>
        <w:adjustRightInd w:val="0"/>
        <w:spacing w:before="120"/>
        <w:rPr>
          <w:sz w:val="24"/>
          <w:lang w:val="en-GB"/>
        </w:rPr>
      </w:pPr>
      <w:r w:rsidRPr="00EC54C2">
        <w:rPr>
          <w:b/>
          <w:sz w:val="24"/>
          <w:lang w:val="en-GB"/>
        </w:rPr>
        <w:t>Reasons:</w:t>
      </w:r>
      <w:r w:rsidRPr="00EC54C2">
        <w:rPr>
          <w:sz w:val="24"/>
          <w:lang w:val="en-GB"/>
        </w:rPr>
        <w:tab/>
        <w:t>Consequential action. Studies have been completed and frequency bands for FS/LMS applications have been identified.</w:t>
      </w:r>
    </w:p>
    <w:p w:rsidR="00EC54C2" w:rsidRPr="00EC54C2" w:rsidRDefault="00EC54C2" w:rsidP="00EC54C2">
      <w:pPr>
        <w:rPr>
          <w:rFonts w:eastAsia="SimSun"/>
          <w:sz w:val="24"/>
          <w:szCs w:val="24"/>
          <w:lang w:eastAsia="zh-CN"/>
        </w:rPr>
      </w:pPr>
    </w:p>
    <w:p w:rsidR="00EC54C2" w:rsidRPr="00EC54C2" w:rsidRDefault="00EC54C2" w:rsidP="00EC54C2">
      <w:pPr>
        <w:jc w:val="center"/>
        <w:rPr>
          <w:rFonts w:eastAsia="SimSun"/>
          <w:sz w:val="24"/>
          <w:szCs w:val="24"/>
          <w:lang w:eastAsia="zh-CN"/>
        </w:rPr>
      </w:pPr>
      <w:r w:rsidRPr="00EC54C2">
        <w:rPr>
          <w:rFonts w:eastAsia="SimSun"/>
          <w:sz w:val="24"/>
          <w:szCs w:val="24"/>
          <w:lang w:eastAsia="zh-CN"/>
        </w:rPr>
        <w:t>____________________________</w:t>
      </w:r>
    </w:p>
    <w:p w:rsidR="00EC54C2" w:rsidRPr="00EC54C2" w:rsidRDefault="00EC54C2" w:rsidP="00EC54C2">
      <w:pPr>
        <w:rPr>
          <w:sz w:val="24"/>
        </w:rPr>
      </w:pPr>
    </w:p>
    <w:sectPr w:rsidR="00EC54C2" w:rsidRPr="00EC54C2"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CB" w:rsidRDefault="00B327CB">
      <w:r>
        <w:separator/>
      </w:r>
    </w:p>
  </w:endnote>
  <w:endnote w:type="continuationSeparator" w:id="0">
    <w:p w:rsidR="00B327CB" w:rsidRDefault="00B3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4C2">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EC54C2">
      <w:rPr>
        <w:noProof/>
        <w:snapToGrid w:val="0"/>
      </w:rPr>
      <w:t>Document2</w:t>
    </w:r>
    <w:r>
      <w:rPr>
        <w:snapToGrid w:val="0"/>
      </w:rPr>
      <w:fldChar w:fldCharType="end"/>
    </w:r>
    <w:r>
      <w:tab/>
    </w:r>
    <w:r>
      <w:fldChar w:fldCharType="begin"/>
    </w:r>
    <w:r>
      <w:instrText xml:space="preserve"> savedate \@ dd.MM.yy </w:instrText>
    </w:r>
    <w:r>
      <w:fldChar w:fldCharType="separate"/>
    </w:r>
    <w:r w:rsidR="00EC54C2">
      <w:rPr>
        <w:noProof/>
      </w:rPr>
      <w:t>00.00.00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CB" w:rsidRDefault="00B327CB">
      <w:r>
        <w:separator/>
      </w:r>
    </w:p>
  </w:footnote>
  <w:footnote w:type="continuationSeparator" w:id="0">
    <w:p w:rsidR="00B327CB" w:rsidRDefault="00B3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EC54C2">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6287"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B61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80D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A648"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45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C2"/>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A6B15"/>
    <w:rsid w:val="003B5116"/>
    <w:rsid w:val="003E7951"/>
    <w:rsid w:val="003F5838"/>
    <w:rsid w:val="004347F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30CF5"/>
    <w:rsid w:val="00A4159C"/>
    <w:rsid w:val="00A526D8"/>
    <w:rsid w:val="00A610B7"/>
    <w:rsid w:val="00A85695"/>
    <w:rsid w:val="00AC0B21"/>
    <w:rsid w:val="00AD2B12"/>
    <w:rsid w:val="00B21910"/>
    <w:rsid w:val="00B327CB"/>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C54C2"/>
    <w:rsid w:val="00ED49AA"/>
    <w:rsid w:val="00EE63C1"/>
    <w:rsid w:val="00EF0849"/>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3A6395AA"/>
  <w15:chartTrackingRefBased/>
  <w15:docId w15:val="{2E54227E-B664-4C5A-8B1E-B84B4C4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EC54C2"/>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4758</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1</cp:revision>
  <cp:lastPrinted>1999-10-11T18:56:00Z</cp:lastPrinted>
  <dcterms:created xsi:type="dcterms:W3CDTF">2018-06-06T13:01:00Z</dcterms:created>
  <dcterms:modified xsi:type="dcterms:W3CDTF">2018-06-06T13:07:00Z</dcterms:modified>
</cp:coreProperties>
</file>