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7E5F" w14:textId="3075A2C6" w:rsidR="00DF6653" w:rsidRDefault="00DF6653">
      <w:pPr>
        <w:pStyle w:val="Header"/>
        <w:tabs>
          <w:tab w:val="clear" w:pos="4419"/>
          <w:tab w:val="clear" w:pos="8838"/>
        </w:tabs>
      </w:pPr>
    </w:p>
    <w:tbl>
      <w:tblPr>
        <w:tblW w:w="10470" w:type="dxa"/>
        <w:tblInd w:w="-470" w:type="dxa"/>
        <w:tblLayout w:type="fixed"/>
        <w:tblCellMar>
          <w:left w:w="70" w:type="dxa"/>
          <w:right w:w="70" w:type="dxa"/>
        </w:tblCellMar>
        <w:tblLook w:val="0000" w:firstRow="0" w:lastRow="0" w:firstColumn="0" w:lastColumn="0" w:noHBand="0" w:noVBand="0"/>
      </w:tblPr>
      <w:tblGrid>
        <w:gridCol w:w="1667"/>
        <w:gridCol w:w="5210"/>
        <w:gridCol w:w="1924"/>
        <w:gridCol w:w="1669"/>
      </w:tblGrid>
      <w:tr w:rsidR="00DF6653" w:rsidRPr="009B3A2A" w14:paraId="5654DF36" w14:textId="77777777" w:rsidTr="00F41393">
        <w:trPr>
          <w:trHeight w:val="1509"/>
        </w:trPr>
        <w:tc>
          <w:tcPr>
            <w:tcW w:w="6877" w:type="dxa"/>
            <w:gridSpan w:val="2"/>
          </w:tcPr>
          <w:p w14:paraId="1F421D4E" w14:textId="77777777" w:rsidR="008B6C29" w:rsidRPr="00787930" w:rsidRDefault="008B6C29" w:rsidP="008B6C29">
            <w:pPr>
              <w:rPr>
                <w:b/>
                <w:sz w:val="22"/>
                <w:szCs w:val="22"/>
              </w:rPr>
            </w:pPr>
            <w:r w:rsidRPr="00787930">
              <w:rPr>
                <w:b/>
                <w:sz w:val="22"/>
                <w:szCs w:val="22"/>
              </w:rPr>
              <w:t>3</w:t>
            </w:r>
            <w:r>
              <w:rPr>
                <w:b/>
                <w:sz w:val="22"/>
                <w:szCs w:val="22"/>
              </w:rPr>
              <w:t xml:space="preserve">9 </w:t>
            </w:r>
            <w:r w:rsidRPr="00787930">
              <w:rPr>
                <w:b/>
                <w:sz w:val="22"/>
                <w:szCs w:val="22"/>
              </w:rPr>
              <w:t>MEETING OF PERMANENT</w:t>
            </w:r>
          </w:p>
          <w:p w14:paraId="466B0444" w14:textId="77777777" w:rsidR="008B6C29" w:rsidRPr="00787930" w:rsidRDefault="008B6C29" w:rsidP="008B6C29">
            <w:pPr>
              <w:rPr>
                <w:b/>
                <w:sz w:val="22"/>
                <w:szCs w:val="22"/>
              </w:rPr>
            </w:pPr>
            <w:r w:rsidRPr="00787930">
              <w:rPr>
                <w:b/>
                <w:sz w:val="22"/>
                <w:szCs w:val="22"/>
              </w:rPr>
              <w:t>CONSULTATIVE COMMITTEE II:</w:t>
            </w:r>
          </w:p>
          <w:p w14:paraId="128F70C2" w14:textId="77777777" w:rsidR="008B6C29" w:rsidRPr="00092B9A" w:rsidRDefault="008B6C29" w:rsidP="008B6C29">
            <w:pPr>
              <w:rPr>
                <w:b/>
                <w:sz w:val="22"/>
                <w:szCs w:val="22"/>
              </w:rPr>
            </w:pPr>
            <w:r w:rsidRPr="00787930">
              <w:rPr>
                <w:b/>
                <w:sz w:val="22"/>
                <w:szCs w:val="22"/>
              </w:rPr>
              <w:t>RADIOCOMMUNICATIONS</w:t>
            </w:r>
          </w:p>
          <w:p w14:paraId="23E583F7" w14:textId="77777777" w:rsidR="008B6C29" w:rsidRPr="00787930" w:rsidRDefault="008B6C29" w:rsidP="008B6C29">
            <w:pPr>
              <w:rPr>
                <w:b/>
                <w:sz w:val="22"/>
                <w:szCs w:val="22"/>
              </w:rPr>
            </w:pPr>
            <w:r>
              <w:rPr>
                <w:b/>
                <w:sz w:val="22"/>
                <w:szCs w:val="22"/>
              </w:rPr>
              <w:t>April 25 to 29</w:t>
            </w:r>
            <w:r w:rsidRPr="00787930">
              <w:rPr>
                <w:b/>
                <w:sz w:val="22"/>
                <w:szCs w:val="22"/>
              </w:rPr>
              <w:t>, 202</w:t>
            </w:r>
            <w:r>
              <w:rPr>
                <w:b/>
                <w:sz w:val="22"/>
                <w:szCs w:val="22"/>
              </w:rPr>
              <w:t>2</w:t>
            </w:r>
          </w:p>
          <w:p w14:paraId="04307E7E" w14:textId="37046B21" w:rsidR="00DF6653" w:rsidRPr="00164759" w:rsidRDefault="008B6C29" w:rsidP="008B6C29">
            <w:pPr>
              <w:rPr>
                <w:b/>
                <w:i/>
                <w:sz w:val="22"/>
                <w:szCs w:val="22"/>
              </w:rPr>
            </w:pPr>
            <w:r w:rsidRPr="008C70E1">
              <w:rPr>
                <w:b/>
                <w:iCs/>
                <w:sz w:val="22"/>
                <w:szCs w:val="22"/>
              </w:rPr>
              <w:t>Mexico City, Mexico</w:t>
            </w:r>
          </w:p>
        </w:tc>
        <w:tc>
          <w:tcPr>
            <w:tcW w:w="3592" w:type="dxa"/>
            <w:gridSpan w:val="2"/>
          </w:tcPr>
          <w:p w14:paraId="53715B19" w14:textId="576AB26A" w:rsidR="00FA216B" w:rsidRPr="000D09FC" w:rsidRDefault="00FA216B" w:rsidP="009B3A2A">
            <w:pPr>
              <w:rPr>
                <w:b/>
                <w:sz w:val="22"/>
                <w:szCs w:val="22"/>
              </w:rPr>
            </w:pPr>
            <w:r w:rsidRPr="000D09FC">
              <w:rPr>
                <w:b/>
                <w:sz w:val="22"/>
                <w:szCs w:val="22"/>
              </w:rPr>
              <w:t>OEA/</w:t>
            </w:r>
            <w:proofErr w:type="spellStart"/>
            <w:r w:rsidRPr="000D09FC">
              <w:rPr>
                <w:b/>
                <w:sz w:val="22"/>
                <w:szCs w:val="22"/>
              </w:rPr>
              <w:t>Ser.L</w:t>
            </w:r>
            <w:proofErr w:type="spellEnd"/>
            <w:r w:rsidRPr="000D09FC">
              <w:rPr>
                <w:b/>
                <w:sz w:val="22"/>
                <w:szCs w:val="22"/>
              </w:rPr>
              <w:t>/XVII.</w:t>
            </w:r>
            <w:r w:rsidR="008B6C29">
              <w:rPr>
                <w:b/>
                <w:sz w:val="22"/>
                <w:szCs w:val="22"/>
              </w:rPr>
              <w:t>7</w:t>
            </w:r>
          </w:p>
          <w:p w14:paraId="3EC0B82E" w14:textId="4B33E653" w:rsidR="00DF6653" w:rsidRPr="006F3040" w:rsidRDefault="00F41393" w:rsidP="009B3A2A">
            <w:pPr>
              <w:rPr>
                <w:b/>
                <w:sz w:val="22"/>
                <w:szCs w:val="22"/>
              </w:rPr>
            </w:pPr>
            <w:r w:rsidRPr="00E71456">
              <w:rPr>
                <w:b/>
                <w:szCs w:val="22"/>
              </w:rPr>
              <w:t>CCP.II-RADIO</w:t>
            </w:r>
            <w:r w:rsidRPr="006F3040">
              <w:rPr>
                <w:b/>
                <w:sz w:val="22"/>
                <w:szCs w:val="22"/>
              </w:rPr>
              <w:t xml:space="preserve"> </w:t>
            </w:r>
            <w:r w:rsidR="00DF6653" w:rsidRPr="006F3040">
              <w:rPr>
                <w:b/>
                <w:sz w:val="22"/>
                <w:szCs w:val="22"/>
              </w:rPr>
              <w:t>/</w:t>
            </w:r>
            <w:r w:rsidR="00E06311" w:rsidRPr="006F3040">
              <w:rPr>
                <w:b/>
                <w:sz w:val="22"/>
                <w:szCs w:val="22"/>
              </w:rPr>
              <w:t>doc</w:t>
            </w:r>
            <w:r w:rsidR="00DF6653" w:rsidRPr="006F3040">
              <w:rPr>
                <w:b/>
                <w:sz w:val="22"/>
                <w:szCs w:val="22"/>
              </w:rPr>
              <w:t xml:space="preserve">. </w:t>
            </w:r>
            <w:r w:rsidR="00B64C14" w:rsidRPr="00B64C14">
              <w:rPr>
                <w:b/>
                <w:sz w:val="22"/>
                <w:szCs w:val="22"/>
                <w:highlight w:val="yellow"/>
              </w:rPr>
              <w:fldChar w:fldCharType="begin"/>
            </w:r>
            <w:r w:rsidR="00B64C14" w:rsidRPr="00B64C14">
              <w:rPr>
                <w:b/>
                <w:sz w:val="22"/>
                <w:szCs w:val="22"/>
                <w:highlight w:val="yellow"/>
              </w:rPr>
              <w:instrText xml:space="preserve"> MACROBUTTON  AcceptAllChangesInDocAndStopTracking "[Doc. No.]" </w:instrText>
            </w:r>
            <w:r w:rsidR="00B64C14" w:rsidRPr="00B64C14">
              <w:rPr>
                <w:b/>
                <w:sz w:val="22"/>
                <w:szCs w:val="22"/>
                <w:highlight w:val="yellow"/>
              </w:rPr>
              <w:fldChar w:fldCharType="end"/>
            </w:r>
            <w:r w:rsidR="00DF6653" w:rsidRPr="006F3040">
              <w:rPr>
                <w:b/>
                <w:sz w:val="22"/>
                <w:szCs w:val="22"/>
              </w:rPr>
              <w:t>/</w:t>
            </w:r>
            <w:r w:rsidR="0031615C">
              <w:rPr>
                <w:b/>
                <w:sz w:val="22"/>
                <w:szCs w:val="22"/>
              </w:rPr>
              <w:t>2</w:t>
            </w:r>
            <w:r w:rsidR="00420099">
              <w:rPr>
                <w:b/>
                <w:sz w:val="22"/>
                <w:szCs w:val="22"/>
              </w:rPr>
              <w:t>2</w:t>
            </w:r>
          </w:p>
          <w:p w14:paraId="57D54036" w14:textId="6F87A5DB" w:rsidR="00825084" w:rsidRPr="007C4674" w:rsidRDefault="00825084" w:rsidP="00825084">
            <w:pPr>
              <w:rPr>
                <w:b/>
                <w:sz w:val="22"/>
                <w:szCs w:val="22"/>
              </w:rPr>
            </w:pPr>
            <w:r w:rsidRPr="007C4674">
              <w:rPr>
                <w:b/>
                <w:sz w:val="22"/>
                <w:szCs w:val="22"/>
              </w:rPr>
              <w:fldChar w:fldCharType="begin"/>
            </w:r>
            <w:r w:rsidRPr="007C4674">
              <w:rPr>
                <w:b/>
                <w:sz w:val="22"/>
                <w:szCs w:val="22"/>
              </w:rPr>
              <w:instrText xml:space="preserve"> DATE  \@ "dd'  'MMMM'  'yyyy"  \* MERGEFORMAT </w:instrText>
            </w:r>
            <w:r w:rsidRPr="007C4674">
              <w:rPr>
                <w:b/>
                <w:sz w:val="22"/>
                <w:szCs w:val="22"/>
              </w:rPr>
              <w:fldChar w:fldCharType="separate"/>
            </w:r>
            <w:r w:rsidR="006C62B8">
              <w:rPr>
                <w:b/>
                <w:noProof/>
                <w:sz w:val="22"/>
                <w:szCs w:val="22"/>
              </w:rPr>
              <w:t>29  March  2022</w:t>
            </w:r>
            <w:r w:rsidRPr="007C4674">
              <w:rPr>
                <w:b/>
                <w:sz w:val="22"/>
                <w:szCs w:val="22"/>
              </w:rPr>
              <w:fldChar w:fldCharType="end"/>
            </w:r>
          </w:p>
          <w:p w14:paraId="35D56372" w14:textId="0F4D7A52" w:rsidR="00DF6653" w:rsidRPr="008264D0" w:rsidRDefault="00DF6653" w:rsidP="00B64C14">
            <w:pPr>
              <w:rPr>
                <w:b/>
                <w:sz w:val="22"/>
                <w:szCs w:val="22"/>
              </w:rPr>
            </w:pPr>
            <w:r w:rsidRPr="008264D0">
              <w:rPr>
                <w:b/>
                <w:sz w:val="22"/>
                <w:szCs w:val="22"/>
              </w:rPr>
              <w:t xml:space="preserve">Original: </w:t>
            </w:r>
            <w:r w:rsidR="00420099">
              <w:rPr>
                <w:b/>
                <w:sz w:val="22"/>
                <w:szCs w:val="22"/>
              </w:rPr>
              <w:t>English</w:t>
            </w:r>
          </w:p>
        </w:tc>
      </w:tr>
      <w:tr w:rsidR="00DF6653" w14:paraId="35B70C3F" w14:textId="77777777" w:rsidTr="00F41393">
        <w:trPr>
          <w:cantSplit/>
          <w:trHeight w:val="511"/>
        </w:trPr>
        <w:tc>
          <w:tcPr>
            <w:tcW w:w="10470" w:type="dxa"/>
            <w:gridSpan w:val="4"/>
          </w:tcPr>
          <w:p w14:paraId="11040073" w14:textId="77777777" w:rsidR="00DF6653" w:rsidRDefault="00DF6653">
            <w:pPr>
              <w:rPr>
                <w:b/>
                <w:sz w:val="22"/>
              </w:rPr>
            </w:pPr>
          </w:p>
          <w:p w14:paraId="6191E97B" w14:textId="77777777" w:rsidR="00DF6653" w:rsidRDefault="00DF6653">
            <w:pPr>
              <w:rPr>
                <w:b/>
                <w:sz w:val="22"/>
              </w:rPr>
            </w:pPr>
          </w:p>
        </w:tc>
      </w:tr>
      <w:tr w:rsidR="00DF6653" w14:paraId="35961063" w14:textId="77777777" w:rsidTr="00F41393">
        <w:trPr>
          <w:cantSplit/>
          <w:trHeight w:val="256"/>
        </w:trPr>
        <w:tc>
          <w:tcPr>
            <w:tcW w:w="1667" w:type="dxa"/>
          </w:tcPr>
          <w:p w14:paraId="4A5D8A54" w14:textId="77777777" w:rsidR="00DF6653" w:rsidRDefault="00DF6653">
            <w:pPr>
              <w:spacing w:before="120"/>
              <w:jc w:val="center"/>
              <w:rPr>
                <w:b/>
                <w:sz w:val="24"/>
              </w:rPr>
            </w:pPr>
          </w:p>
        </w:tc>
        <w:tc>
          <w:tcPr>
            <w:tcW w:w="7134" w:type="dxa"/>
            <w:gridSpan w:val="2"/>
          </w:tcPr>
          <w:p w14:paraId="01909043" w14:textId="6E1F7129" w:rsidR="00DF6653" w:rsidRPr="00B3071D" w:rsidRDefault="00B3071D" w:rsidP="00B3071D">
            <w:pPr>
              <w:tabs>
                <w:tab w:val="left" w:pos="2268"/>
                <w:tab w:val="left" w:pos="5103"/>
                <w:tab w:val="left" w:pos="5954"/>
                <w:tab w:val="left" w:pos="8789"/>
              </w:tabs>
              <w:spacing w:before="120"/>
              <w:jc w:val="center"/>
              <w:rPr>
                <w:b/>
                <w:sz w:val="24"/>
                <w:szCs w:val="24"/>
              </w:rPr>
            </w:pPr>
            <w:r w:rsidRPr="00420099">
              <w:rPr>
                <w:b/>
                <w:sz w:val="24"/>
                <w:szCs w:val="24"/>
              </w:rPr>
              <w:t>DRAFT PROPOSALS FOR THE WORK OF THE CONFERENCE</w:t>
            </w:r>
            <w:r>
              <w:rPr>
                <w:b/>
                <w:sz w:val="24"/>
                <w:szCs w:val="24"/>
              </w:rPr>
              <w:t xml:space="preserve"> </w:t>
            </w:r>
            <w:r w:rsidRPr="00420099">
              <w:rPr>
                <w:b/>
                <w:bCs/>
                <w:sz w:val="24"/>
                <w:szCs w:val="24"/>
              </w:rPr>
              <w:t>Agenda Item 1.</w:t>
            </w:r>
            <w:r w:rsidR="003F65CC">
              <w:rPr>
                <w:b/>
                <w:bCs/>
                <w:sz w:val="24"/>
                <w:szCs w:val="24"/>
              </w:rPr>
              <w:t>2</w:t>
            </w:r>
          </w:p>
        </w:tc>
        <w:tc>
          <w:tcPr>
            <w:tcW w:w="1667" w:type="dxa"/>
          </w:tcPr>
          <w:p w14:paraId="21FB025B" w14:textId="77777777" w:rsidR="00DF6653" w:rsidRPr="00211705" w:rsidRDefault="00DF6653">
            <w:pPr>
              <w:spacing w:before="120"/>
              <w:jc w:val="center"/>
              <w:rPr>
                <w:b/>
                <w:sz w:val="24"/>
              </w:rPr>
            </w:pPr>
          </w:p>
        </w:tc>
      </w:tr>
      <w:tr w:rsidR="00DF6653" w14:paraId="63FC20FC" w14:textId="77777777" w:rsidTr="00F41393">
        <w:trPr>
          <w:cantSplit/>
          <w:trHeight w:val="256"/>
        </w:trPr>
        <w:tc>
          <w:tcPr>
            <w:tcW w:w="1667" w:type="dxa"/>
          </w:tcPr>
          <w:p w14:paraId="58FF7533" w14:textId="77777777" w:rsidR="00DF6653" w:rsidRPr="00211705" w:rsidRDefault="00DF6653">
            <w:pPr>
              <w:spacing w:before="120"/>
              <w:jc w:val="center"/>
              <w:rPr>
                <w:b/>
                <w:sz w:val="24"/>
              </w:rPr>
            </w:pPr>
          </w:p>
        </w:tc>
        <w:tc>
          <w:tcPr>
            <w:tcW w:w="7134" w:type="dxa"/>
            <w:gridSpan w:val="2"/>
          </w:tcPr>
          <w:p w14:paraId="5B4015C5" w14:textId="7F66C15E" w:rsidR="00DF6653" w:rsidRPr="00211705" w:rsidRDefault="00DF6653" w:rsidP="00620569">
            <w:pPr>
              <w:spacing w:before="120"/>
              <w:jc w:val="center"/>
              <w:rPr>
                <w:b/>
                <w:sz w:val="24"/>
              </w:rPr>
            </w:pPr>
            <w:r w:rsidRPr="00211705">
              <w:rPr>
                <w:b/>
                <w:sz w:val="24"/>
              </w:rPr>
              <w:t xml:space="preserve">(Item on the Agenda: </w:t>
            </w:r>
            <w:r w:rsidR="00420099">
              <w:rPr>
                <w:b/>
                <w:sz w:val="24"/>
                <w:lang w:val="es-UY"/>
              </w:rPr>
              <w:t>3.1</w:t>
            </w:r>
            <w:r w:rsidRPr="00211705">
              <w:rPr>
                <w:b/>
                <w:sz w:val="24"/>
              </w:rPr>
              <w:t>)</w:t>
            </w:r>
          </w:p>
        </w:tc>
        <w:tc>
          <w:tcPr>
            <w:tcW w:w="1667" w:type="dxa"/>
          </w:tcPr>
          <w:p w14:paraId="44900427" w14:textId="77777777" w:rsidR="00DF6653" w:rsidRPr="00B64C14" w:rsidRDefault="00DF6653">
            <w:pPr>
              <w:spacing w:before="120"/>
              <w:jc w:val="center"/>
              <w:rPr>
                <w:b/>
                <w:sz w:val="24"/>
              </w:rPr>
            </w:pPr>
          </w:p>
        </w:tc>
      </w:tr>
      <w:tr w:rsidR="00DF6653" w14:paraId="69A1C69B" w14:textId="77777777" w:rsidTr="00F41393">
        <w:trPr>
          <w:cantSplit/>
          <w:trHeight w:val="256"/>
        </w:trPr>
        <w:tc>
          <w:tcPr>
            <w:tcW w:w="166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7B2C4314" w:rsidR="00DF6653" w:rsidRPr="00211705" w:rsidRDefault="00DF6653" w:rsidP="005962C2">
            <w:pPr>
              <w:spacing w:before="120"/>
              <w:jc w:val="center"/>
              <w:rPr>
                <w:b/>
                <w:sz w:val="24"/>
              </w:rPr>
            </w:pPr>
            <w:r w:rsidRPr="00211705">
              <w:rPr>
                <w:b/>
                <w:sz w:val="24"/>
                <w:lang w:val="es-UY"/>
              </w:rPr>
              <w:t xml:space="preserve">(Document submitted by </w:t>
            </w:r>
            <w:r w:rsidR="00B3071D">
              <w:rPr>
                <w:b/>
                <w:sz w:val="24"/>
                <w:lang w:val="es-UY"/>
              </w:rPr>
              <w:t xml:space="preserve">the delegation of </w:t>
            </w:r>
            <w:r w:rsidR="00420099">
              <w:rPr>
                <w:b/>
                <w:sz w:val="24"/>
                <w:lang w:val="es-UY"/>
              </w:rPr>
              <w:t>United States of America</w:t>
            </w:r>
            <w:r w:rsidR="005962C2" w:rsidRPr="00211705">
              <w:rPr>
                <w:b/>
                <w:sz w:val="24"/>
                <w:lang w:val="es-UY"/>
              </w:rPr>
              <w:t>)</w:t>
            </w:r>
          </w:p>
        </w:tc>
        <w:tc>
          <w:tcPr>
            <w:tcW w:w="1667"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3701A5">
          <w:footerReference w:type="even" r:id="rId12"/>
          <w:footerReference w:type="default" r:id="rId13"/>
          <w:headerReference w:type="first" r:id="rId14"/>
          <w:footerReference w:type="first" r:id="rId15"/>
          <w:pgSz w:w="12242" w:h="15842" w:code="1"/>
          <w:pgMar w:top="1440" w:right="1440" w:bottom="1440" w:left="1440" w:header="403" w:footer="720" w:gutter="0"/>
          <w:pgNumType w:start="0"/>
          <w:cols w:space="720"/>
          <w:titlePg/>
        </w:sectPr>
      </w:pPr>
    </w:p>
    <w:p w14:paraId="0B3FA7E0" w14:textId="0F6407C3" w:rsidR="00DF6653" w:rsidRDefault="00DF6653">
      <w:pPr>
        <w:rPr>
          <w:b/>
          <w:sz w:val="24"/>
        </w:rPr>
      </w:pPr>
    </w:p>
    <w:p w14:paraId="66C1D114" w14:textId="4275AC45" w:rsidR="00EE3CD2" w:rsidRPr="008B6C29" w:rsidRDefault="00EE3CD2" w:rsidP="00EE3CD2">
      <w:pPr>
        <w:tabs>
          <w:tab w:val="left" w:pos="5497"/>
        </w:tabs>
        <w:rPr>
          <w:color w:val="000000" w:themeColor="text1"/>
          <w:sz w:val="24"/>
        </w:rPr>
      </w:pPr>
      <w:r w:rsidRPr="008B6C29">
        <w:rPr>
          <w:color w:val="000000" w:themeColor="text1"/>
          <w:sz w:val="24"/>
        </w:rPr>
        <w:tab/>
      </w:r>
    </w:p>
    <w:p w14:paraId="5B9E9CFA" w14:textId="77777777" w:rsidR="00420099" w:rsidRDefault="00420099" w:rsidP="00420099">
      <w:pPr>
        <w:widowControl w:val="0"/>
        <w:autoSpaceDE w:val="0"/>
        <w:autoSpaceDN w:val="0"/>
        <w:adjustRightInd w:val="0"/>
        <w:rPr>
          <w:b/>
          <w:bCs/>
        </w:rPr>
      </w:pPr>
    </w:p>
    <w:p w14:paraId="7054123D" w14:textId="77777777" w:rsidR="006C62B8" w:rsidRPr="0031615C" w:rsidRDefault="006C62B8" w:rsidP="006C62B8">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9264" behindDoc="0" locked="0" layoutInCell="1" allowOverlap="1" wp14:anchorId="3EB96638" wp14:editId="69934DFB">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20B6F" w14:textId="5C7CAB2A" w:rsidR="006C62B8" w:rsidRPr="00857D7C" w:rsidRDefault="006C62B8" w:rsidP="006C62B8">
                            <w:pPr>
                              <w:pBdr>
                                <w:top w:val="single" w:sz="24" w:space="8" w:color="5B9BD5"/>
                                <w:bottom w:val="single" w:sz="24" w:space="8" w:color="5B9BD5"/>
                              </w:pBdr>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B96638"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" filled="f" stroked="f">
                <v:textbox>
                  <w:txbxContent>
                    <w:p w14:paraId="17C20B6F" w14:textId="5C7CAB2A" w:rsidR="006C62B8" w:rsidRPr="00857D7C" w:rsidRDefault="006C62B8" w:rsidP="006C62B8">
                      <w:pPr>
                        <w:pBdr>
                          <w:top w:val="single" w:sz="24" w:space="8" w:color="5B9BD5"/>
                          <w:bottom w:val="single" w:sz="24" w:space="8" w:color="5B9BD5"/>
                        </w:pBdr>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31615C">
        <w:rPr>
          <w:b/>
          <w:sz w:val="22"/>
        </w:rPr>
        <w:t>Impact on the sector:</w:t>
      </w:r>
    </w:p>
    <w:p w14:paraId="644CA957" w14:textId="77777777" w:rsidR="006C62B8" w:rsidRPr="0031615C" w:rsidRDefault="006C62B8" w:rsidP="006C62B8">
      <w:pPr>
        <w:tabs>
          <w:tab w:val="left" w:pos="699"/>
          <w:tab w:val="left" w:pos="1080"/>
          <w:tab w:val="left" w:pos="7257"/>
          <w:tab w:val="left" w:pos="7920"/>
          <w:tab w:val="left" w:pos="8508"/>
          <w:tab w:val="left" w:pos="9216"/>
        </w:tabs>
        <w:jc w:val="both"/>
        <w:rPr>
          <w:b/>
          <w:sz w:val="22"/>
        </w:rPr>
      </w:pPr>
    </w:p>
    <w:p w14:paraId="6C09601F" w14:textId="77777777" w:rsidR="006C62B8" w:rsidRDefault="006C62B8" w:rsidP="006C62B8">
      <w:pPr>
        <w:rPr>
          <w:b/>
          <w:sz w:val="24"/>
        </w:rPr>
      </w:pPr>
      <w:r w:rsidRPr="00620569">
        <w:rPr>
          <w:b/>
          <w:noProof/>
          <w:sz w:val="22"/>
        </w:rPr>
        <mc:AlternateContent>
          <mc:Choice Requires="wps">
            <w:drawing>
              <wp:anchor distT="91440" distB="91440" distL="114300" distR="114300" simplePos="0" relativeHeight="251660288" behindDoc="0" locked="0" layoutInCell="1" allowOverlap="1" wp14:anchorId="532375A4" wp14:editId="77E511DD">
                <wp:simplePos x="0" y="0"/>
                <wp:positionH relativeFrom="page">
                  <wp:posOffset>797560</wp:posOffset>
                </wp:positionH>
                <wp:positionV relativeFrom="paragraph">
                  <wp:posOffset>272415</wp:posOffset>
                </wp:positionV>
                <wp:extent cx="6285865" cy="125476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36123" w14:textId="381F742C" w:rsidR="006C62B8" w:rsidRPr="005962C2" w:rsidRDefault="006C62B8" w:rsidP="006C62B8">
                            <w:pPr>
                              <w:pBdr>
                                <w:top w:val="single" w:sz="24" w:space="8" w:color="5B9BD5"/>
                                <w:bottom w:val="single" w:sz="24" w:space="8" w:color="5B9BD5"/>
                              </w:pBdr>
                              <w:rPr>
                                <w:iCs/>
                                <w:sz w:val="22"/>
                                <w:szCs w:val="22"/>
                              </w:rPr>
                            </w:pPr>
                            <w:r>
                              <w:rPr>
                                <w:iCs/>
                                <w:sz w:val="22"/>
                                <w:szCs w:val="22"/>
                              </w:rPr>
                              <w:t>This document contains a preliminary proposal from the United States for WRC-23 agenda item 1.2 addressing the 6 425-7 025 MHz and 7 025-7 125 MHz frequency bands.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375A4" id="_x0000_s1027" type="#_x0000_t202" style="position:absolute;margin-left:62.8pt;margin-top:21.45pt;width:494.95pt;height:98.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" filled="f" stroked="f">
                <v:textbox>
                  <w:txbxContent>
                    <w:p w14:paraId="71D36123" w14:textId="381F742C" w:rsidR="006C62B8" w:rsidRPr="005962C2" w:rsidRDefault="006C62B8" w:rsidP="006C62B8">
                      <w:pPr>
                        <w:pBdr>
                          <w:top w:val="single" w:sz="24" w:space="8" w:color="5B9BD5"/>
                          <w:bottom w:val="single" w:sz="24" w:space="8" w:color="5B9BD5"/>
                        </w:pBdr>
                        <w:rPr>
                          <w:iCs/>
                          <w:sz w:val="22"/>
                          <w:szCs w:val="22"/>
                        </w:rPr>
                      </w:pPr>
                      <w:r>
                        <w:rPr>
                          <w:iCs/>
                          <w:sz w:val="22"/>
                          <w:szCs w:val="22"/>
                        </w:rPr>
                        <w:t>This document contains a preliminary proposal from the United States for WRC-23 agenda item 1.2 addressing the 6 425-7 025 MHz and 7 025-7 125 MHz frequency bands.</w:t>
                      </w:r>
                    </w:p>
                  </w:txbxContent>
                </v:textbox>
                <w10:wrap type="topAndBottom" anchorx="page"/>
              </v:shape>
            </w:pict>
          </mc:Fallback>
        </mc:AlternateContent>
      </w:r>
      <w:r w:rsidRPr="0031615C">
        <w:rPr>
          <w:b/>
          <w:sz w:val="22"/>
        </w:rPr>
        <w:t xml:space="preserve">Executive Summary: </w:t>
      </w:r>
    </w:p>
    <w:p w14:paraId="3767BD74" w14:textId="3569EF6D" w:rsidR="001959C7" w:rsidRDefault="001959C7" w:rsidP="006C62B8">
      <w:pPr>
        <w:tabs>
          <w:tab w:val="left" w:pos="5497"/>
        </w:tabs>
        <w:rPr>
          <w:b/>
          <w:bCs/>
          <w:sz w:val="24"/>
          <w:szCs w:val="24"/>
        </w:rPr>
      </w:pPr>
    </w:p>
    <w:p w14:paraId="0BD26406" w14:textId="77777777" w:rsidR="001959C7" w:rsidRDefault="001959C7" w:rsidP="00420099">
      <w:pPr>
        <w:widowControl w:val="0"/>
        <w:autoSpaceDE w:val="0"/>
        <w:autoSpaceDN w:val="0"/>
        <w:adjustRightInd w:val="0"/>
        <w:jc w:val="center"/>
        <w:rPr>
          <w:b/>
          <w:bCs/>
          <w:sz w:val="24"/>
          <w:szCs w:val="24"/>
        </w:rPr>
      </w:pPr>
    </w:p>
    <w:p w14:paraId="40772648" w14:textId="77777777" w:rsidR="006C62B8" w:rsidRDefault="006C62B8" w:rsidP="003F65CC">
      <w:pPr>
        <w:widowControl w:val="0"/>
        <w:autoSpaceDE w:val="0"/>
        <w:autoSpaceDN w:val="0"/>
        <w:adjustRightInd w:val="0"/>
        <w:ind w:left="2920"/>
        <w:rPr>
          <w:b/>
          <w:bCs/>
          <w:sz w:val="24"/>
          <w:szCs w:val="24"/>
        </w:rPr>
      </w:pPr>
    </w:p>
    <w:p w14:paraId="62D57DF9" w14:textId="77777777" w:rsidR="006C62B8" w:rsidRDefault="006C62B8" w:rsidP="003F65CC">
      <w:pPr>
        <w:widowControl w:val="0"/>
        <w:autoSpaceDE w:val="0"/>
        <w:autoSpaceDN w:val="0"/>
        <w:adjustRightInd w:val="0"/>
        <w:ind w:left="2920"/>
        <w:rPr>
          <w:b/>
          <w:bCs/>
          <w:sz w:val="24"/>
          <w:szCs w:val="24"/>
        </w:rPr>
      </w:pPr>
    </w:p>
    <w:p w14:paraId="6986AFFE" w14:textId="77777777" w:rsidR="006C62B8" w:rsidRDefault="006C62B8" w:rsidP="003F65CC">
      <w:pPr>
        <w:widowControl w:val="0"/>
        <w:autoSpaceDE w:val="0"/>
        <w:autoSpaceDN w:val="0"/>
        <w:adjustRightInd w:val="0"/>
        <w:ind w:left="2920"/>
        <w:rPr>
          <w:b/>
          <w:bCs/>
          <w:sz w:val="24"/>
          <w:szCs w:val="24"/>
        </w:rPr>
      </w:pPr>
    </w:p>
    <w:p w14:paraId="6ABF3F58" w14:textId="77777777" w:rsidR="006C62B8" w:rsidRDefault="006C62B8" w:rsidP="003F65CC">
      <w:pPr>
        <w:widowControl w:val="0"/>
        <w:autoSpaceDE w:val="0"/>
        <w:autoSpaceDN w:val="0"/>
        <w:adjustRightInd w:val="0"/>
        <w:ind w:left="2920"/>
        <w:rPr>
          <w:b/>
          <w:bCs/>
          <w:sz w:val="24"/>
          <w:szCs w:val="24"/>
        </w:rPr>
      </w:pPr>
    </w:p>
    <w:p w14:paraId="58E3D658" w14:textId="77777777" w:rsidR="006C62B8" w:rsidRDefault="006C62B8" w:rsidP="003F65CC">
      <w:pPr>
        <w:widowControl w:val="0"/>
        <w:autoSpaceDE w:val="0"/>
        <w:autoSpaceDN w:val="0"/>
        <w:adjustRightInd w:val="0"/>
        <w:ind w:left="2920"/>
        <w:rPr>
          <w:b/>
          <w:bCs/>
          <w:sz w:val="24"/>
          <w:szCs w:val="24"/>
        </w:rPr>
      </w:pPr>
    </w:p>
    <w:p w14:paraId="7EF43289" w14:textId="77777777" w:rsidR="006C62B8" w:rsidRDefault="006C62B8" w:rsidP="003F65CC">
      <w:pPr>
        <w:widowControl w:val="0"/>
        <w:autoSpaceDE w:val="0"/>
        <w:autoSpaceDN w:val="0"/>
        <w:adjustRightInd w:val="0"/>
        <w:ind w:left="2920"/>
        <w:rPr>
          <w:b/>
          <w:bCs/>
          <w:sz w:val="24"/>
          <w:szCs w:val="24"/>
        </w:rPr>
      </w:pPr>
    </w:p>
    <w:p w14:paraId="3DEBEA3E" w14:textId="37A2E33B" w:rsidR="003F65CC" w:rsidRPr="00850F69" w:rsidRDefault="003F65CC" w:rsidP="003F65CC">
      <w:pPr>
        <w:widowControl w:val="0"/>
        <w:autoSpaceDE w:val="0"/>
        <w:autoSpaceDN w:val="0"/>
        <w:adjustRightInd w:val="0"/>
        <w:ind w:left="2920"/>
        <w:rPr>
          <w:sz w:val="24"/>
          <w:szCs w:val="24"/>
        </w:rPr>
      </w:pPr>
      <w:r w:rsidRPr="00850F69">
        <w:rPr>
          <w:b/>
          <w:bCs/>
          <w:sz w:val="24"/>
          <w:szCs w:val="24"/>
        </w:rPr>
        <w:lastRenderedPageBreak/>
        <w:t>UNITED STATES OF AMERICA</w:t>
      </w:r>
    </w:p>
    <w:p w14:paraId="1E8623BE" w14:textId="77777777" w:rsidR="003F65CC" w:rsidRPr="00850F69" w:rsidRDefault="003F65CC" w:rsidP="003F65CC">
      <w:pPr>
        <w:widowControl w:val="0"/>
        <w:autoSpaceDE w:val="0"/>
        <w:autoSpaceDN w:val="0"/>
        <w:adjustRightInd w:val="0"/>
        <w:spacing w:line="120" w:lineRule="exact"/>
        <w:rPr>
          <w:sz w:val="24"/>
          <w:szCs w:val="24"/>
        </w:rPr>
      </w:pPr>
    </w:p>
    <w:p w14:paraId="1B15F3FC" w14:textId="77777777" w:rsidR="003F65CC" w:rsidRPr="00850F69" w:rsidRDefault="003F65CC" w:rsidP="003F65CC">
      <w:pPr>
        <w:widowControl w:val="0"/>
        <w:autoSpaceDE w:val="0"/>
        <w:autoSpaceDN w:val="0"/>
        <w:adjustRightInd w:val="0"/>
        <w:ind w:left="1000"/>
        <w:rPr>
          <w:sz w:val="24"/>
          <w:szCs w:val="24"/>
        </w:rPr>
      </w:pPr>
      <w:r w:rsidRPr="00850F69">
        <w:rPr>
          <w:b/>
          <w:bCs/>
          <w:sz w:val="24"/>
          <w:szCs w:val="24"/>
        </w:rPr>
        <w:t>DRAFT PROPOSALS FOR THE WORK OF THE CONFERENCE</w:t>
      </w:r>
    </w:p>
    <w:p w14:paraId="343DDAB9" w14:textId="77777777" w:rsidR="003F65CC" w:rsidRPr="00850F69" w:rsidRDefault="003F65CC" w:rsidP="003F65CC">
      <w:pPr>
        <w:widowControl w:val="0"/>
        <w:autoSpaceDE w:val="0"/>
        <w:autoSpaceDN w:val="0"/>
        <w:adjustRightInd w:val="0"/>
        <w:spacing w:line="200" w:lineRule="exact"/>
        <w:rPr>
          <w:sz w:val="24"/>
          <w:szCs w:val="24"/>
        </w:rPr>
      </w:pPr>
    </w:p>
    <w:p w14:paraId="43FCAC52" w14:textId="77777777" w:rsidR="003F65CC" w:rsidRPr="00850F69" w:rsidRDefault="003F65CC" w:rsidP="003F65CC">
      <w:pPr>
        <w:widowControl w:val="0"/>
        <w:autoSpaceDE w:val="0"/>
        <w:autoSpaceDN w:val="0"/>
        <w:adjustRightInd w:val="0"/>
        <w:spacing w:line="200" w:lineRule="exact"/>
        <w:jc w:val="center"/>
        <w:rPr>
          <w:sz w:val="24"/>
          <w:szCs w:val="24"/>
        </w:rPr>
      </w:pPr>
    </w:p>
    <w:p w14:paraId="4F6B99B5" w14:textId="77777777" w:rsidR="003F65CC" w:rsidRPr="00850F69" w:rsidRDefault="003F65CC" w:rsidP="003F65CC">
      <w:pPr>
        <w:jc w:val="both"/>
        <w:rPr>
          <w:b/>
          <w:sz w:val="24"/>
          <w:szCs w:val="24"/>
        </w:rPr>
      </w:pPr>
    </w:p>
    <w:p w14:paraId="6DF49F60" w14:textId="77777777" w:rsidR="003F65CC" w:rsidRPr="00850F69" w:rsidRDefault="003F65CC" w:rsidP="003F65CC">
      <w:pPr>
        <w:rPr>
          <w:bCs/>
          <w:iCs/>
          <w:sz w:val="24"/>
          <w:szCs w:val="24"/>
        </w:rPr>
      </w:pPr>
      <w:r w:rsidRPr="00850F69">
        <w:rPr>
          <w:b/>
          <w:sz w:val="24"/>
          <w:szCs w:val="24"/>
        </w:rPr>
        <w:t>Agenda Item 1.2</w:t>
      </w:r>
      <w:r w:rsidRPr="00850F69">
        <w:rPr>
          <w:bCs/>
          <w:iCs/>
          <w:sz w:val="24"/>
          <w:szCs w:val="24"/>
        </w:rPr>
        <w:t xml:space="preserve">: </w:t>
      </w:r>
      <w:r w:rsidRPr="00850F69">
        <w:rPr>
          <w:rFonts w:eastAsia="MS Mincho"/>
          <w:i/>
          <w:iCs/>
          <w:sz w:val="24"/>
          <w:szCs w:val="24"/>
          <w:lang w:val="en-CA"/>
        </w:rPr>
        <w:t>to consider identification of the frequency bands 3 300-3 400 MHz, 3 600</w:t>
      </w:r>
      <w:r w:rsidRPr="00850F69">
        <w:rPr>
          <w:rFonts w:eastAsia="MS Mincho"/>
          <w:i/>
          <w:iCs/>
          <w:sz w:val="24"/>
          <w:szCs w:val="24"/>
          <w:lang w:val="en-CA"/>
        </w:rPr>
        <w:noBreakHyphen/>
        <w:t xml:space="preserve">3 800 MHz, 6 425-7 025 MHz, 7 025-7 125 MHz and 10.0-10.5 GHz for International Mobile Telecommunications (IMT), including possible additional allocations to the mobile service on a primary basis, in accordance with Resolution </w:t>
      </w:r>
      <w:r w:rsidRPr="00850F69">
        <w:rPr>
          <w:rFonts w:eastAsia="MS Mincho"/>
          <w:b/>
          <w:bCs/>
          <w:i/>
          <w:iCs/>
          <w:sz w:val="24"/>
          <w:szCs w:val="24"/>
          <w:lang w:val="en-CA"/>
        </w:rPr>
        <w:t>245</w:t>
      </w:r>
      <w:r w:rsidRPr="00850F69">
        <w:rPr>
          <w:rFonts w:eastAsia="MS Mincho"/>
          <w:b/>
          <w:i/>
          <w:iCs/>
          <w:sz w:val="24"/>
          <w:szCs w:val="24"/>
          <w:lang w:val="en-CA"/>
        </w:rPr>
        <w:t xml:space="preserve"> (WRC</w:t>
      </w:r>
      <w:r w:rsidRPr="00850F69">
        <w:rPr>
          <w:rFonts w:eastAsia="MS Mincho"/>
          <w:b/>
          <w:i/>
          <w:iCs/>
          <w:sz w:val="24"/>
          <w:szCs w:val="24"/>
          <w:lang w:val="en-CA"/>
        </w:rPr>
        <w:noBreakHyphen/>
        <w:t>19</w:t>
      </w:r>
      <w:proofErr w:type="gramStart"/>
      <w:r w:rsidRPr="00850F69">
        <w:rPr>
          <w:rFonts w:eastAsia="MS Mincho"/>
          <w:b/>
          <w:i/>
          <w:iCs/>
          <w:sz w:val="24"/>
          <w:szCs w:val="24"/>
          <w:lang w:val="en-CA"/>
        </w:rPr>
        <w:t>)</w:t>
      </w:r>
      <w:r w:rsidRPr="00850F69">
        <w:rPr>
          <w:rFonts w:eastAsia="MS Mincho"/>
          <w:bCs/>
          <w:i/>
          <w:iCs/>
          <w:sz w:val="24"/>
          <w:szCs w:val="24"/>
          <w:lang w:val="en-CA"/>
        </w:rPr>
        <w:t>;</w:t>
      </w:r>
      <w:proofErr w:type="gramEnd"/>
    </w:p>
    <w:p w14:paraId="5C9311EC" w14:textId="77777777" w:rsidR="003F65CC" w:rsidRDefault="003F65CC" w:rsidP="003F65CC">
      <w:pPr>
        <w:pStyle w:val="Heading1"/>
        <w:spacing w:before="0"/>
        <w:rPr>
          <w:rFonts w:ascii="Times New Roman" w:hAnsi="Times New Roman"/>
          <w:color w:val="auto"/>
          <w:sz w:val="24"/>
          <w:szCs w:val="24"/>
          <w:lang w:val="en-CA"/>
        </w:rPr>
      </w:pPr>
    </w:p>
    <w:p w14:paraId="112361E1" w14:textId="77777777" w:rsidR="003F65CC" w:rsidRPr="00DA0DD6" w:rsidRDefault="003F65CC" w:rsidP="003F65CC">
      <w:pPr>
        <w:pStyle w:val="Heading1"/>
        <w:spacing w:before="0"/>
        <w:rPr>
          <w:sz w:val="24"/>
          <w:szCs w:val="24"/>
          <w:lang w:val="en-CA"/>
        </w:rPr>
      </w:pPr>
    </w:p>
    <w:p w14:paraId="156EB1BC" w14:textId="77777777" w:rsidR="003F65CC" w:rsidRPr="00850F69" w:rsidRDefault="003F65CC" w:rsidP="003F65CC">
      <w:pPr>
        <w:pStyle w:val="Heading1"/>
        <w:spacing w:before="0"/>
        <w:rPr>
          <w:rFonts w:ascii="Times New Roman" w:hAnsi="Times New Roman"/>
          <w:sz w:val="24"/>
          <w:szCs w:val="24"/>
        </w:rPr>
      </w:pPr>
      <w:r w:rsidRPr="00850F69">
        <w:rPr>
          <w:rFonts w:ascii="Times New Roman" w:hAnsi="Times New Roman"/>
          <w:color w:val="auto"/>
          <w:sz w:val="24"/>
          <w:szCs w:val="24"/>
        </w:rPr>
        <w:t>BACKGROUND</w:t>
      </w:r>
      <w:r w:rsidRPr="00850F69">
        <w:rPr>
          <w:rFonts w:ascii="Times New Roman" w:hAnsi="Times New Roman"/>
          <w:sz w:val="24"/>
          <w:szCs w:val="24"/>
        </w:rPr>
        <w:t xml:space="preserve"> </w:t>
      </w:r>
    </w:p>
    <w:p w14:paraId="52A5273A" w14:textId="77777777" w:rsidR="003F65CC" w:rsidRDefault="003F65CC" w:rsidP="003F65CC">
      <w:pPr>
        <w:rPr>
          <w:sz w:val="24"/>
          <w:szCs w:val="24"/>
        </w:rPr>
      </w:pPr>
    </w:p>
    <w:p w14:paraId="24DEC32C" w14:textId="77777777" w:rsidR="003F65CC" w:rsidRDefault="003F65CC" w:rsidP="003F65CC">
      <w:pPr>
        <w:rPr>
          <w:sz w:val="24"/>
          <w:szCs w:val="24"/>
        </w:rPr>
      </w:pPr>
      <w:r w:rsidRPr="002E7645">
        <w:rPr>
          <w:sz w:val="24"/>
          <w:szCs w:val="24"/>
        </w:rPr>
        <w:t>Mobile broadband plays a crucial role in providing access to businesses and consumers worldwide.</w:t>
      </w:r>
      <w:r w:rsidRPr="002E7645">
        <w:rPr>
          <w:rFonts w:ascii="AvenirNext LT Pro Light" w:eastAsiaTheme="minorHAnsi" w:hAnsi="AvenirNext LT Pro Light" w:cs="AvenirNext LT Pro Light"/>
          <w:color w:val="000000"/>
        </w:rPr>
        <w:t xml:space="preserve"> </w:t>
      </w:r>
      <w:r>
        <w:rPr>
          <w:rFonts w:ascii="AvenirNext LT Pro Light" w:eastAsiaTheme="minorHAnsi" w:hAnsi="AvenirNext LT Pro Light" w:cs="AvenirNext LT Pro Light"/>
          <w:color w:val="000000"/>
        </w:rPr>
        <w:t xml:space="preserve"> </w:t>
      </w:r>
      <w:r w:rsidRPr="002E7645">
        <w:rPr>
          <w:sz w:val="24"/>
          <w:szCs w:val="24"/>
        </w:rPr>
        <w:t xml:space="preserve">In 2020, the first year of the pandemic, the number of Internet users grew by 10.2 per cent, the largest increase in a decade, driven by developing countries where Internet use went up 13.3 per cent. </w:t>
      </w:r>
      <w:r>
        <w:rPr>
          <w:sz w:val="24"/>
          <w:szCs w:val="24"/>
        </w:rPr>
        <w:t xml:space="preserve"> </w:t>
      </w:r>
      <w:r w:rsidRPr="002E7645">
        <w:rPr>
          <w:sz w:val="24"/>
          <w:szCs w:val="24"/>
        </w:rPr>
        <w:t>According to ITU estimates, the number of active mobile-cellular telephone subscriptions per 100 inhabitants continue</w:t>
      </w:r>
      <w:r>
        <w:rPr>
          <w:sz w:val="24"/>
          <w:szCs w:val="24"/>
        </w:rPr>
        <w:t>s to grow strongly, reaching 110</w:t>
      </w:r>
      <w:r w:rsidRPr="002E7645">
        <w:rPr>
          <w:sz w:val="24"/>
          <w:szCs w:val="24"/>
        </w:rPr>
        <w:t xml:space="preserve"> subscriptions per 100 inhabitants, </w:t>
      </w:r>
      <w:r>
        <w:rPr>
          <w:sz w:val="24"/>
          <w:szCs w:val="24"/>
        </w:rPr>
        <w:t>including a record number of mobile subscriptions with broadband capacity (3G or better).</w:t>
      </w:r>
      <w:r w:rsidRPr="002E7645">
        <w:rPr>
          <w:sz w:val="24"/>
          <w:szCs w:val="24"/>
          <w:vertAlign w:val="superscript"/>
        </w:rPr>
        <w:footnoteReference w:id="1"/>
      </w:r>
      <w:r>
        <w:rPr>
          <w:sz w:val="24"/>
          <w:szCs w:val="24"/>
        </w:rPr>
        <w:t xml:space="preserve">  Ninety-five</w:t>
      </w:r>
      <w:r w:rsidRPr="002E7645">
        <w:rPr>
          <w:sz w:val="24"/>
          <w:szCs w:val="24"/>
        </w:rPr>
        <w:t xml:space="preserve"> percent of the world’s population lives within reach of a mobile broadband service, and the relatively small difference in the number of subscriptions between developed and developing countries demonstrates that connectivity is a priority among people in countries at all levels of development.</w:t>
      </w:r>
      <w:r w:rsidRPr="002E7645">
        <w:rPr>
          <w:sz w:val="24"/>
          <w:szCs w:val="24"/>
          <w:vertAlign w:val="superscript"/>
        </w:rPr>
        <w:footnoteReference w:id="2"/>
      </w:r>
      <w:r w:rsidRPr="002E7645">
        <w:rPr>
          <w:sz w:val="24"/>
          <w:szCs w:val="24"/>
        </w:rPr>
        <w:t xml:space="preserve">  </w:t>
      </w:r>
    </w:p>
    <w:p w14:paraId="10F2466E" w14:textId="77777777" w:rsidR="003F65CC" w:rsidRDefault="003F65CC" w:rsidP="003F65CC">
      <w:pPr>
        <w:rPr>
          <w:sz w:val="24"/>
          <w:szCs w:val="24"/>
        </w:rPr>
      </w:pPr>
    </w:p>
    <w:p w14:paraId="39849C77" w14:textId="77777777" w:rsidR="003F65CC" w:rsidRPr="003501A9" w:rsidRDefault="003F65CC" w:rsidP="003F65CC">
      <w:pPr>
        <w:rPr>
          <w:sz w:val="24"/>
          <w:szCs w:val="24"/>
        </w:rPr>
      </w:pPr>
      <w:r w:rsidRPr="0071249A">
        <w:rPr>
          <w:sz w:val="24"/>
          <w:szCs w:val="24"/>
        </w:rPr>
        <w:t xml:space="preserve">The demand for mobile wireless broadband </w:t>
      </w:r>
      <w:r>
        <w:rPr>
          <w:sz w:val="24"/>
          <w:szCs w:val="24"/>
        </w:rPr>
        <w:t>applications</w:t>
      </w:r>
      <w:r w:rsidRPr="0071249A">
        <w:rPr>
          <w:sz w:val="24"/>
          <w:szCs w:val="24"/>
        </w:rPr>
        <w:t xml:space="preserve"> such as IMT</w:t>
      </w:r>
      <w:r>
        <w:rPr>
          <w:sz w:val="24"/>
          <w:szCs w:val="24"/>
        </w:rPr>
        <w:t xml:space="preserve"> </w:t>
      </w:r>
      <w:r w:rsidRPr="0071249A">
        <w:rPr>
          <w:sz w:val="24"/>
          <w:szCs w:val="24"/>
        </w:rPr>
        <w:t>continues to grow dramatically as does the need for access to radio spectrum to support that growth.</w:t>
      </w:r>
      <w:r w:rsidRPr="0071249A">
        <w:rPr>
          <w:sz w:val="24"/>
          <w:szCs w:val="24"/>
          <w:vertAlign w:val="superscript"/>
        </w:rPr>
        <w:footnoteReference w:id="3"/>
      </w:r>
      <w:r w:rsidRPr="0071249A">
        <w:rPr>
          <w:sz w:val="24"/>
          <w:szCs w:val="24"/>
        </w:rPr>
        <w:t xml:space="preserve">  </w:t>
      </w:r>
      <w:r w:rsidRPr="003501A9">
        <w:rPr>
          <w:sz w:val="24"/>
          <w:szCs w:val="24"/>
        </w:rPr>
        <w:t xml:space="preserve">Fifth generation (5G) provides improved data rates and reduced latency. </w:t>
      </w:r>
      <w:r>
        <w:rPr>
          <w:sz w:val="24"/>
          <w:szCs w:val="24"/>
        </w:rPr>
        <w:t xml:space="preserve"> </w:t>
      </w:r>
      <w:r w:rsidRPr="003501A9">
        <w:rPr>
          <w:sz w:val="24"/>
          <w:szCs w:val="24"/>
        </w:rPr>
        <w:t>Importantly 5G has been designed to enable capabilities in a wide range of industries including healthcare, transportation</w:t>
      </w:r>
      <w:r>
        <w:rPr>
          <w:sz w:val="24"/>
          <w:szCs w:val="24"/>
        </w:rPr>
        <w:t>, manufacturing, education, and telemedicine</w:t>
      </w:r>
      <w:r w:rsidRPr="003501A9">
        <w:rPr>
          <w:sz w:val="24"/>
          <w:szCs w:val="24"/>
        </w:rPr>
        <w:t>; 5G is expected to have a broad impact on our economies and societies.</w:t>
      </w:r>
      <w:r>
        <w:rPr>
          <w:sz w:val="24"/>
          <w:szCs w:val="24"/>
        </w:rPr>
        <w:t xml:space="preserve">  </w:t>
      </w:r>
      <w:r w:rsidRPr="00FF5A8F">
        <w:rPr>
          <w:sz w:val="24"/>
          <w:lang w:val="en-GB"/>
        </w:rPr>
        <w:t>With demand for IMT applications continuing to increase, additional IMT spectrum identifications in the mid-range frequency bands</w:t>
      </w:r>
      <w:r>
        <w:rPr>
          <w:sz w:val="24"/>
          <w:lang w:val="en-GB"/>
        </w:rPr>
        <w:t xml:space="preserve"> – with its favourable mix of coverage and capacity - will</w:t>
      </w:r>
      <w:r w:rsidRPr="00FF5A8F">
        <w:rPr>
          <w:sz w:val="24"/>
          <w:lang w:val="en-GB"/>
        </w:rPr>
        <w:t xml:space="preserve"> need to be considered </w:t>
      </w:r>
      <w:proofErr w:type="gramStart"/>
      <w:r w:rsidRPr="00FF5A8F">
        <w:rPr>
          <w:sz w:val="24"/>
          <w:lang w:val="en-GB"/>
        </w:rPr>
        <w:t>in order to</w:t>
      </w:r>
      <w:proofErr w:type="gramEnd"/>
      <w:r w:rsidRPr="00FF5A8F">
        <w:rPr>
          <w:sz w:val="24"/>
          <w:lang w:val="en-GB"/>
        </w:rPr>
        <w:t xml:space="preserve"> enable future deployments, where these applications and services </w:t>
      </w:r>
      <w:bookmarkStart w:id="0" w:name="OLE_LINK52"/>
      <w:bookmarkStart w:id="1" w:name="OLE_LINK51"/>
      <w:r w:rsidRPr="00FF5A8F">
        <w:rPr>
          <w:sz w:val="24"/>
          <w:lang w:val="en-GB"/>
        </w:rPr>
        <w:t>might be difficult to implement using lower or higher frequency bands.</w:t>
      </w:r>
      <w:bookmarkEnd w:id="0"/>
      <w:bookmarkEnd w:id="1"/>
    </w:p>
    <w:p w14:paraId="2F73450B" w14:textId="77777777" w:rsidR="003F65CC" w:rsidRPr="002E7645" w:rsidRDefault="003F65CC" w:rsidP="003F65CC">
      <w:pPr>
        <w:rPr>
          <w:sz w:val="24"/>
          <w:szCs w:val="24"/>
        </w:rPr>
      </w:pPr>
    </w:p>
    <w:p w14:paraId="742C793B" w14:textId="77777777" w:rsidR="003F65CC" w:rsidRPr="00850F69" w:rsidRDefault="003F65CC" w:rsidP="003F65CC">
      <w:pPr>
        <w:rPr>
          <w:sz w:val="24"/>
          <w:szCs w:val="24"/>
        </w:rPr>
      </w:pPr>
    </w:p>
    <w:p w14:paraId="6933BC26" w14:textId="77777777" w:rsidR="003F65CC" w:rsidRPr="00850F69" w:rsidRDefault="003F65CC" w:rsidP="003F65CC">
      <w:pPr>
        <w:rPr>
          <w:bCs/>
          <w:sz w:val="24"/>
          <w:szCs w:val="24"/>
          <w:u w:val="single"/>
        </w:rPr>
      </w:pPr>
      <w:r w:rsidRPr="00850F69">
        <w:rPr>
          <w:bCs/>
          <w:sz w:val="24"/>
          <w:szCs w:val="24"/>
          <w:u w:val="single"/>
        </w:rPr>
        <w:lastRenderedPageBreak/>
        <w:t>6 425-7 025 MHz and 7 025-7 125 MHz</w:t>
      </w:r>
    </w:p>
    <w:p w14:paraId="00C5F76B" w14:textId="77777777" w:rsidR="003F65CC" w:rsidRDefault="003F65CC" w:rsidP="003F65CC">
      <w:pPr>
        <w:rPr>
          <w:sz w:val="24"/>
          <w:szCs w:val="24"/>
        </w:rPr>
      </w:pPr>
    </w:p>
    <w:p w14:paraId="45B16FC7" w14:textId="77777777" w:rsidR="003F65CC" w:rsidRDefault="003F65CC" w:rsidP="003F65CC">
      <w:pPr>
        <w:rPr>
          <w:sz w:val="24"/>
          <w:szCs w:val="24"/>
        </w:rPr>
      </w:pPr>
      <w:r>
        <w:rPr>
          <w:sz w:val="24"/>
          <w:szCs w:val="24"/>
        </w:rPr>
        <w:t>The 6 425 – 7 125 MHz band is already allocated to the mobile service on a primary basis.  As a broadly defined service allocation,</w:t>
      </w:r>
      <w:r>
        <w:rPr>
          <w:rStyle w:val="FootnoteReference"/>
          <w:sz w:val="24"/>
          <w:szCs w:val="24"/>
        </w:rPr>
        <w:footnoteReference w:id="4"/>
      </w:r>
      <w:r>
        <w:rPr>
          <w:sz w:val="24"/>
          <w:szCs w:val="24"/>
        </w:rPr>
        <w:t xml:space="preserve"> it affords administrations the flexibility to </w:t>
      </w:r>
      <w:r w:rsidRPr="002C7C66">
        <w:rPr>
          <w:sz w:val="24"/>
          <w:szCs w:val="24"/>
        </w:rPr>
        <w:t>allow the use of various</w:t>
      </w:r>
      <w:r>
        <w:rPr>
          <w:sz w:val="24"/>
          <w:szCs w:val="24"/>
        </w:rPr>
        <w:t xml:space="preserve"> </w:t>
      </w:r>
      <w:r w:rsidRPr="002C7C66">
        <w:rPr>
          <w:sz w:val="24"/>
          <w:szCs w:val="24"/>
        </w:rPr>
        <w:t>mobile systems and applications of the mobile service (</w:t>
      </w:r>
      <w:proofErr w:type="gramStart"/>
      <w:r w:rsidRPr="002C7C66">
        <w:rPr>
          <w:sz w:val="24"/>
          <w:szCs w:val="24"/>
        </w:rPr>
        <w:t>e.g.</w:t>
      </w:r>
      <w:proofErr w:type="gramEnd"/>
      <w:r w:rsidRPr="002C7C66">
        <w:rPr>
          <w:sz w:val="24"/>
          <w:szCs w:val="24"/>
        </w:rPr>
        <w:t xml:space="preserve"> electronic news gathering and other video relay and auxiliary services,</w:t>
      </w:r>
      <w:r>
        <w:rPr>
          <w:sz w:val="24"/>
          <w:szCs w:val="24"/>
        </w:rPr>
        <w:t xml:space="preserve"> IMT, RLAN) based on their national priorities and requirements.</w:t>
      </w:r>
    </w:p>
    <w:p w14:paraId="431A1011" w14:textId="77777777" w:rsidR="003F65CC" w:rsidRDefault="003F65CC" w:rsidP="003F65CC">
      <w:pPr>
        <w:rPr>
          <w:sz w:val="24"/>
          <w:szCs w:val="24"/>
        </w:rPr>
      </w:pPr>
    </w:p>
    <w:p w14:paraId="59E73B42" w14:textId="77777777" w:rsidR="003F65CC" w:rsidRPr="00850F69" w:rsidRDefault="003F65CC" w:rsidP="003F65CC">
      <w:pPr>
        <w:rPr>
          <w:sz w:val="24"/>
          <w:szCs w:val="24"/>
        </w:rPr>
      </w:pPr>
      <w:r w:rsidRPr="00850F69">
        <w:rPr>
          <w:sz w:val="24"/>
          <w:szCs w:val="24"/>
        </w:rPr>
        <w:t xml:space="preserve">The 6 425-7 125 MHz frequency range is allocated to the fixed satellite service (6 425-7 075 MHz), </w:t>
      </w:r>
      <w:r w:rsidRPr="003214ED">
        <w:rPr>
          <w:sz w:val="24"/>
          <w:szCs w:val="24"/>
        </w:rPr>
        <w:t>fixed and mobile services</w:t>
      </w:r>
      <w:r w:rsidRPr="00850F69">
        <w:rPr>
          <w:sz w:val="24"/>
          <w:szCs w:val="24"/>
        </w:rPr>
        <w:t xml:space="preserve"> and portions of the band are used for Aeronautical Mobile Telemetry (AMT) in Region 2 (No. </w:t>
      </w:r>
      <w:r w:rsidRPr="00850F69">
        <w:rPr>
          <w:b/>
          <w:sz w:val="24"/>
          <w:szCs w:val="24"/>
        </w:rPr>
        <w:t>5.457C</w:t>
      </w:r>
      <w:r w:rsidRPr="00850F69">
        <w:rPr>
          <w:sz w:val="24"/>
          <w:szCs w:val="24"/>
        </w:rPr>
        <w:t xml:space="preserve">). </w:t>
      </w:r>
      <w:r>
        <w:rPr>
          <w:sz w:val="24"/>
          <w:szCs w:val="24"/>
        </w:rPr>
        <w:t xml:space="preserve"> Fixed services include microwave links</w:t>
      </w:r>
      <w:r w:rsidRPr="00742755">
        <w:rPr>
          <w:sz w:val="24"/>
          <w:szCs w:val="24"/>
        </w:rPr>
        <w:t xml:space="preserve"> </w:t>
      </w:r>
      <w:r>
        <w:rPr>
          <w:sz w:val="24"/>
          <w:szCs w:val="24"/>
        </w:rPr>
        <w:t xml:space="preserve">of a critical nature deployed by public safety, utilities, rail and IMT backhaul for telecommunications operators.  </w:t>
      </w:r>
      <w:r w:rsidRPr="00850F69">
        <w:rPr>
          <w:sz w:val="24"/>
          <w:szCs w:val="24"/>
        </w:rPr>
        <w:t xml:space="preserve">The space-to-Earth allocation to the fixed-satellite service in the band 6 700-7 075 MHz is limited to feeder links for non-geostationary satellite systems of the mobile-satellite service. </w:t>
      </w:r>
    </w:p>
    <w:p w14:paraId="16D94013" w14:textId="77777777" w:rsidR="003F65CC" w:rsidRPr="00850F69" w:rsidRDefault="003F65CC" w:rsidP="003F65CC">
      <w:pPr>
        <w:rPr>
          <w:sz w:val="24"/>
          <w:szCs w:val="24"/>
          <w:lang w:eastAsia="es-UY"/>
        </w:rPr>
      </w:pPr>
    </w:p>
    <w:p w14:paraId="277BDE5D" w14:textId="77777777" w:rsidR="003F65CC" w:rsidRPr="00850F69" w:rsidRDefault="003F65CC" w:rsidP="003F65CC">
      <w:pPr>
        <w:rPr>
          <w:bCs/>
          <w:sz w:val="24"/>
          <w:szCs w:val="24"/>
        </w:rPr>
      </w:pPr>
      <w:r w:rsidRPr="00850F69">
        <w:rPr>
          <w:bCs/>
          <w:sz w:val="24"/>
          <w:szCs w:val="24"/>
        </w:rPr>
        <w:t>Regarding the Fixed Satellite Service (FSS) use of the band:</w:t>
      </w:r>
    </w:p>
    <w:p w14:paraId="560E57DF" w14:textId="77777777" w:rsidR="003F65CC" w:rsidRPr="00850F69" w:rsidRDefault="003F65CC" w:rsidP="003F65CC">
      <w:pPr>
        <w:pStyle w:val="ListParagraph"/>
        <w:numPr>
          <w:ilvl w:val="0"/>
          <w:numId w:val="6"/>
        </w:numPr>
        <w:contextualSpacing w:val="0"/>
        <w:rPr>
          <w:sz w:val="24"/>
          <w:szCs w:val="24"/>
        </w:rPr>
      </w:pPr>
      <w:r w:rsidRPr="00850F69">
        <w:rPr>
          <w:sz w:val="24"/>
          <w:szCs w:val="24"/>
        </w:rPr>
        <w:t>6 425-7 075 MHz: allocated globally to FSS.</w:t>
      </w:r>
    </w:p>
    <w:p w14:paraId="7F4DE7CA" w14:textId="77777777" w:rsidR="003F65CC" w:rsidRPr="00850F69" w:rsidRDefault="003F65CC" w:rsidP="003F65CC">
      <w:pPr>
        <w:pStyle w:val="ListParagraph"/>
        <w:numPr>
          <w:ilvl w:val="1"/>
          <w:numId w:val="6"/>
        </w:numPr>
        <w:contextualSpacing w:val="0"/>
        <w:rPr>
          <w:sz w:val="24"/>
          <w:szCs w:val="24"/>
        </w:rPr>
      </w:pPr>
      <w:r w:rsidRPr="00850F69">
        <w:rPr>
          <w:sz w:val="24"/>
          <w:szCs w:val="24"/>
        </w:rPr>
        <w:t xml:space="preserve">6 425-6 725 MHz: allocated to the FSS (Earth-to-space) in all Regions. </w:t>
      </w:r>
    </w:p>
    <w:p w14:paraId="6AC23228" w14:textId="77777777" w:rsidR="003F65CC" w:rsidRPr="00850F69" w:rsidRDefault="003F65CC" w:rsidP="003F65CC">
      <w:pPr>
        <w:pStyle w:val="ListParagraph"/>
        <w:numPr>
          <w:ilvl w:val="1"/>
          <w:numId w:val="6"/>
        </w:numPr>
        <w:contextualSpacing w:val="0"/>
        <w:rPr>
          <w:sz w:val="24"/>
          <w:szCs w:val="24"/>
        </w:rPr>
      </w:pPr>
      <w:r w:rsidRPr="00850F69">
        <w:rPr>
          <w:sz w:val="24"/>
          <w:szCs w:val="24"/>
        </w:rPr>
        <w:t xml:space="preserve">6 725-7 025 MHz: allocated to the FSS (Earth-to-space) and subject to the provisions of Appendix </w:t>
      </w:r>
      <w:r w:rsidRPr="00850F69">
        <w:rPr>
          <w:b/>
          <w:bCs/>
          <w:sz w:val="24"/>
          <w:szCs w:val="24"/>
        </w:rPr>
        <w:t>30B</w:t>
      </w:r>
      <w:r w:rsidRPr="00850F69">
        <w:rPr>
          <w:sz w:val="24"/>
          <w:szCs w:val="24"/>
        </w:rPr>
        <w:t xml:space="preserve"> (No. </w:t>
      </w:r>
      <w:r w:rsidRPr="00850F69">
        <w:rPr>
          <w:b/>
          <w:bCs/>
          <w:sz w:val="24"/>
          <w:szCs w:val="24"/>
        </w:rPr>
        <w:t>5.441</w:t>
      </w:r>
      <w:r w:rsidRPr="00850F69">
        <w:rPr>
          <w:sz w:val="24"/>
          <w:szCs w:val="24"/>
        </w:rPr>
        <w:t>). The FSS allotment in 6 725-7 025 MHz is particularly important to the developing countries.</w:t>
      </w:r>
    </w:p>
    <w:p w14:paraId="370B1973" w14:textId="77777777" w:rsidR="003F65CC" w:rsidRPr="00850F69" w:rsidRDefault="003F65CC" w:rsidP="003F65CC">
      <w:pPr>
        <w:pStyle w:val="ListParagraph"/>
        <w:numPr>
          <w:ilvl w:val="1"/>
          <w:numId w:val="6"/>
        </w:numPr>
        <w:contextualSpacing w:val="0"/>
        <w:rPr>
          <w:sz w:val="24"/>
          <w:szCs w:val="24"/>
        </w:rPr>
      </w:pPr>
      <w:r w:rsidRPr="00850F69">
        <w:rPr>
          <w:sz w:val="24"/>
          <w:szCs w:val="24"/>
        </w:rPr>
        <w:t xml:space="preserve">6 700-7 075 MHz: allocated to the FSS (space-to-Earth), limited to feeder links for non-geostationary satellite systems of the mobile-satellite service and is subject to coordination under No. </w:t>
      </w:r>
      <w:r w:rsidRPr="00850F69">
        <w:rPr>
          <w:b/>
          <w:bCs/>
          <w:sz w:val="24"/>
          <w:szCs w:val="24"/>
        </w:rPr>
        <w:t>9.11A</w:t>
      </w:r>
      <w:r w:rsidRPr="00850F69">
        <w:rPr>
          <w:sz w:val="24"/>
          <w:szCs w:val="24"/>
        </w:rPr>
        <w:t xml:space="preserve"> (No. </w:t>
      </w:r>
      <w:r w:rsidRPr="00850F69">
        <w:rPr>
          <w:b/>
          <w:bCs/>
          <w:sz w:val="24"/>
          <w:szCs w:val="24"/>
        </w:rPr>
        <w:t>5.458B</w:t>
      </w:r>
      <w:r w:rsidRPr="00850F69">
        <w:rPr>
          <w:sz w:val="24"/>
          <w:szCs w:val="24"/>
        </w:rPr>
        <w:t>).</w:t>
      </w:r>
    </w:p>
    <w:p w14:paraId="3FDC205A" w14:textId="6A40D5D9" w:rsidR="003F65CC" w:rsidRPr="00850F69" w:rsidRDefault="003F65CC" w:rsidP="003F65CC">
      <w:pPr>
        <w:pStyle w:val="ListParagraph"/>
        <w:numPr>
          <w:ilvl w:val="0"/>
          <w:numId w:val="6"/>
        </w:numPr>
        <w:contextualSpacing w:val="0"/>
        <w:rPr>
          <w:sz w:val="24"/>
          <w:szCs w:val="24"/>
        </w:rPr>
      </w:pPr>
      <w:r w:rsidRPr="00850F69">
        <w:rPr>
          <w:sz w:val="24"/>
          <w:szCs w:val="24"/>
        </w:rPr>
        <w:t xml:space="preserve">7 025-7 075 MHz: Satellite Digital Audio Radio Services (SDARS) for GEO feeder links in the Earth-space direction to provide audio programming to subscribers in the United States, </w:t>
      </w:r>
      <w:r w:rsidR="008B6C29" w:rsidRPr="00850F69">
        <w:rPr>
          <w:sz w:val="24"/>
          <w:szCs w:val="24"/>
        </w:rPr>
        <w:t>Canada,</w:t>
      </w:r>
      <w:r w:rsidRPr="00850F69">
        <w:rPr>
          <w:sz w:val="24"/>
          <w:szCs w:val="24"/>
        </w:rPr>
        <w:t xml:space="preserve"> and the Caribbean.</w:t>
      </w:r>
    </w:p>
    <w:p w14:paraId="7AD1F2C9" w14:textId="77777777" w:rsidR="003F65CC" w:rsidRPr="00850F69" w:rsidRDefault="003F65CC" w:rsidP="003F65CC">
      <w:pPr>
        <w:rPr>
          <w:bCs/>
          <w:sz w:val="24"/>
          <w:szCs w:val="24"/>
        </w:rPr>
      </w:pPr>
    </w:p>
    <w:p w14:paraId="635BFDE8" w14:textId="0DF0E935" w:rsidR="003F65CC" w:rsidRPr="008B6C29" w:rsidRDefault="27A1DE87" w:rsidP="23ED5CD9">
      <w:pPr>
        <w:pStyle w:val="Reasons"/>
        <w:rPr>
          <w:szCs w:val="24"/>
        </w:rPr>
      </w:pPr>
      <w:r w:rsidRPr="1E3B3F13">
        <w:rPr>
          <w:szCs w:val="24"/>
        </w:rPr>
        <w:t xml:space="preserve">In 2020, the United States made 1200 megahertz of spectrum available for unlicensed use in 5 925-7 125 </w:t>
      </w:r>
      <w:proofErr w:type="spellStart"/>
      <w:r w:rsidRPr="1E3B3F13">
        <w:rPr>
          <w:szCs w:val="24"/>
        </w:rPr>
        <w:t>MHz.</w:t>
      </w:r>
      <w:proofErr w:type="spellEnd"/>
      <w:r w:rsidRPr="1E3B3F13">
        <w:rPr>
          <w:szCs w:val="24"/>
        </w:rPr>
        <w:t xml:space="preserve">  This decision allows unlicensed devices (e.g., Wi-Fi 6E, LAA, NR-U) to share this spectrum with incumbent services under rules that are carefully crafted to protect the licensed services and to enable both unlicensed and licensed operations to continue to thrive throughout the band. </w:t>
      </w:r>
      <w:r w:rsidRPr="1E3B3F13">
        <w:rPr>
          <w:color w:val="000000" w:themeColor="text1"/>
          <w:szCs w:val="24"/>
        </w:rPr>
        <w:t xml:space="preserve"> A number of countries, including </w:t>
      </w:r>
      <w:r w:rsidRPr="1E3B3F13">
        <w:rPr>
          <w:szCs w:val="24"/>
        </w:rPr>
        <w:t>nine CITEL administrations, have already decided to allow license-exempt use of the frequency band 6 425-7 125 MHz and others are considering such use.  Global regulatory harmonization would ensure economies of scope and scale to enable commercially viable unlicensed device 6 GHz ecosystem.</w:t>
      </w:r>
      <w:r w:rsidR="00222921">
        <w:rPr>
          <w:szCs w:val="24"/>
        </w:rPr>
        <w:t xml:space="preserve"> Further, studying and considering identification of the 6 425-7 025 MHz frequencies for the terrestrial component of IMT for Region 2 and Region 3 is outside the scope of agenda item 1.2 and as such there will be no change in the Radio Regulations involving these frequencies with respect to these Regions.</w:t>
      </w:r>
      <w:r w:rsidR="008B6C29">
        <w:rPr>
          <w:szCs w:val="24"/>
        </w:rPr>
        <w:t xml:space="preserve"> </w:t>
      </w:r>
      <w:r w:rsidRPr="1E3B3F13">
        <w:rPr>
          <w:szCs w:val="24"/>
        </w:rPr>
        <w:t xml:space="preserve">Accordingly, the United States proposes no change to the Radio Regulations for the bands </w:t>
      </w:r>
      <w:r w:rsidR="008B6C29">
        <w:rPr>
          <w:szCs w:val="24"/>
        </w:rPr>
        <w:t xml:space="preserve">         </w:t>
      </w:r>
      <w:r w:rsidRPr="1E3B3F13">
        <w:rPr>
          <w:szCs w:val="24"/>
        </w:rPr>
        <w:t xml:space="preserve">6 425– 7 125 MHz </w:t>
      </w:r>
      <w:proofErr w:type="gramStart"/>
      <w:r w:rsidRPr="1E3B3F13">
        <w:rPr>
          <w:szCs w:val="24"/>
        </w:rPr>
        <w:t>in order to</w:t>
      </w:r>
      <w:proofErr w:type="gramEnd"/>
      <w:r w:rsidRPr="1E3B3F13">
        <w:rPr>
          <w:szCs w:val="24"/>
        </w:rPr>
        <w:t xml:space="preserve"> support the flexible use of the mobile service allocation, including for RLAN use, and supports the further harmonization of the 6 GHz band for unlicensed devices. </w:t>
      </w:r>
    </w:p>
    <w:p w14:paraId="5B2894E8" w14:textId="77777777" w:rsidR="003F65CC" w:rsidRPr="00850F69" w:rsidRDefault="003F65CC" w:rsidP="003F65CC">
      <w:pPr>
        <w:pStyle w:val="BodyText"/>
        <w:rPr>
          <w:sz w:val="24"/>
          <w:szCs w:val="24"/>
        </w:rPr>
      </w:pPr>
    </w:p>
    <w:p w14:paraId="3EE56A23" w14:textId="4C4AB2CA" w:rsidR="003F65CC" w:rsidRPr="00850F69" w:rsidRDefault="003F65CC" w:rsidP="003F65CC">
      <w:pPr>
        <w:rPr>
          <w:sz w:val="24"/>
          <w:szCs w:val="24"/>
        </w:rPr>
      </w:pPr>
    </w:p>
    <w:p w14:paraId="0225A31A" w14:textId="77777777" w:rsidR="003F65CC" w:rsidRPr="00850F69" w:rsidRDefault="003F65CC" w:rsidP="003F65CC">
      <w:pPr>
        <w:tabs>
          <w:tab w:val="left" w:pos="5856"/>
        </w:tabs>
        <w:rPr>
          <w:b/>
          <w:sz w:val="24"/>
          <w:szCs w:val="24"/>
          <w:lang w:eastAsia="ko-KR"/>
        </w:rPr>
      </w:pPr>
      <w:r w:rsidRPr="00850F69">
        <w:rPr>
          <w:b/>
          <w:sz w:val="24"/>
          <w:szCs w:val="24"/>
          <w:lang w:eastAsia="ko-KR"/>
        </w:rPr>
        <w:t>Proposal</w:t>
      </w:r>
      <w:r w:rsidRPr="00850F69">
        <w:rPr>
          <w:bCs/>
          <w:sz w:val="24"/>
          <w:szCs w:val="24"/>
          <w:lang w:eastAsia="ko-KR"/>
        </w:rPr>
        <w:t>:</w:t>
      </w:r>
      <w:r w:rsidRPr="00850F69">
        <w:rPr>
          <w:b/>
          <w:sz w:val="24"/>
          <w:szCs w:val="24"/>
          <w:lang w:eastAsia="ko-KR"/>
        </w:rPr>
        <w:tab/>
      </w:r>
    </w:p>
    <w:p w14:paraId="78EEBC83" w14:textId="77777777" w:rsidR="003F65CC" w:rsidRPr="00850F69" w:rsidRDefault="003F65CC" w:rsidP="003F65CC">
      <w:pPr>
        <w:tabs>
          <w:tab w:val="left" w:pos="5856"/>
        </w:tabs>
        <w:jc w:val="both"/>
        <w:rPr>
          <w:b/>
          <w:sz w:val="24"/>
          <w:szCs w:val="24"/>
          <w:lang w:eastAsia="ko-KR"/>
        </w:rPr>
      </w:pPr>
    </w:p>
    <w:p w14:paraId="79C2E3E7" w14:textId="77777777" w:rsidR="003F65CC" w:rsidRPr="00850F69" w:rsidRDefault="003F65CC" w:rsidP="003F65CC">
      <w:pPr>
        <w:pStyle w:val="ArtNo"/>
        <w:spacing w:before="0"/>
        <w:rPr>
          <w:sz w:val="24"/>
          <w:szCs w:val="24"/>
          <w:lang w:val="en-AU"/>
        </w:rPr>
      </w:pPr>
      <w:r w:rsidRPr="00850F69">
        <w:rPr>
          <w:sz w:val="24"/>
          <w:szCs w:val="24"/>
        </w:rPr>
        <w:t xml:space="preserve">  </w:t>
      </w:r>
      <w:bookmarkStart w:id="2" w:name="_Toc451865291"/>
      <w:r w:rsidRPr="00850F69">
        <w:rPr>
          <w:sz w:val="24"/>
          <w:szCs w:val="24"/>
        </w:rPr>
        <w:t>ARTICLE</w:t>
      </w:r>
      <w:r w:rsidRPr="00850F69">
        <w:rPr>
          <w:sz w:val="24"/>
          <w:szCs w:val="24"/>
          <w:lang w:val="en-AU"/>
        </w:rPr>
        <w:t xml:space="preserve"> </w:t>
      </w:r>
      <w:r w:rsidRPr="00850F69">
        <w:rPr>
          <w:rStyle w:val="href"/>
          <w:color w:val="000000"/>
          <w:sz w:val="24"/>
          <w:szCs w:val="24"/>
          <w:lang w:val="en-AU"/>
        </w:rPr>
        <w:t>5</w:t>
      </w:r>
      <w:bookmarkEnd w:id="2"/>
    </w:p>
    <w:p w14:paraId="44ADFE7E" w14:textId="77777777" w:rsidR="003F65CC" w:rsidRPr="00850F69" w:rsidRDefault="003F65CC" w:rsidP="003F65CC">
      <w:pPr>
        <w:pStyle w:val="Arttitle"/>
        <w:rPr>
          <w:sz w:val="24"/>
          <w:szCs w:val="24"/>
          <w:lang w:val="en-US"/>
        </w:rPr>
      </w:pPr>
      <w:bookmarkStart w:id="3" w:name="_Toc327956583"/>
      <w:bookmarkStart w:id="4" w:name="_Toc451865292"/>
      <w:r w:rsidRPr="00850F69">
        <w:rPr>
          <w:sz w:val="24"/>
          <w:szCs w:val="24"/>
        </w:rPr>
        <w:t>Frequency allocations</w:t>
      </w:r>
      <w:bookmarkEnd w:id="3"/>
      <w:bookmarkEnd w:id="4"/>
    </w:p>
    <w:p w14:paraId="6208FF10" w14:textId="77777777" w:rsidR="003F65CC" w:rsidRPr="00927C95" w:rsidRDefault="003F65CC" w:rsidP="003F65CC">
      <w:pPr>
        <w:pStyle w:val="Section1"/>
        <w:keepNext/>
        <w:rPr>
          <w:b w:val="0"/>
          <w:bCs/>
          <w:szCs w:val="24"/>
        </w:rPr>
      </w:pPr>
      <w:r w:rsidRPr="00850F69">
        <w:rPr>
          <w:szCs w:val="24"/>
        </w:rPr>
        <w:t>Section</w:t>
      </w:r>
      <w:r w:rsidRPr="00850F69">
        <w:rPr>
          <w:szCs w:val="24"/>
          <w:lang w:val="en-AU"/>
        </w:rPr>
        <w:t xml:space="preserve"> IV – Table of Frequency Allocations</w:t>
      </w:r>
      <w:r w:rsidRPr="00850F69">
        <w:rPr>
          <w:szCs w:val="24"/>
          <w:lang w:val="en-AU"/>
        </w:rPr>
        <w:br/>
      </w:r>
      <w:r w:rsidRPr="00850F69">
        <w:rPr>
          <w:b w:val="0"/>
          <w:bCs/>
          <w:szCs w:val="24"/>
        </w:rPr>
        <w:t xml:space="preserve">(See No. </w:t>
      </w:r>
      <w:r w:rsidRPr="00850F69">
        <w:rPr>
          <w:szCs w:val="24"/>
        </w:rPr>
        <w:t>2.1</w:t>
      </w:r>
      <w:r w:rsidRPr="00850F69">
        <w:rPr>
          <w:b w:val="0"/>
          <w:bCs/>
          <w:szCs w:val="24"/>
        </w:rPr>
        <w:t>)</w:t>
      </w:r>
    </w:p>
    <w:p w14:paraId="0E2DFA1C" w14:textId="77777777" w:rsidR="003F65CC" w:rsidRPr="00850F69" w:rsidRDefault="003F65CC" w:rsidP="003F65CC">
      <w:pPr>
        <w:pStyle w:val="Proposal"/>
        <w:rPr>
          <w:rFonts w:hAnsi="Times New Roman"/>
          <w:szCs w:val="24"/>
        </w:rPr>
      </w:pPr>
      <w:r w:rsidRPr="002C7C66">
        <w:rPr>
          <w:rFonts w:hAnsi="Times New Roman"/>
          <w:szCs w:val="24"/>
          <w:u w:val="single"/>
        </w:rPr>
        <w:t>NOC</w:t>
      </w:r>
      <w:r w:rsidRPr="00850F69">
        <w:rPr>
          <w:rFonts w:hAnsi="Times New Roman"/>
          <w:szCs w:val="24"/>
        </w:rPr>
        <w:tab/>
      </w:r>
      <w:r w:rsidRPr="00850F69">
        <w:rPr>
          <w:rFonts w:hAnsi="Times New Roman"/>
          <w:b w:val="0"/>
          <w:szCs w:val="24"/>
        </w:rPr>
        <w:t>USA/1.2/6 GHz</w:t>
      </w:r>
      <w:r>
        <w:rPr>
          <w:rFonts w:hAnsi="Times New Roman"/>
          <w:b w:val="0"/>
          <w:szCs w:val="24"/>
        </w:rPr>
        <w:t>/1</w:t>
      </w:r>
    </w:p>
    <w:p w14:paraId="14E0A9DD" w14:textId="77777777" w:rsidR="003F65CC" w:rsidRDefault="003F65CC" w:rsidP="003F65CC">
      <w:pPr>
        <w:pStyle w:val="Tabletitle"/>
        <w:jc w:val="left"/>
        <w:rPr>
          <w:rFonts w:ascii="Times New Roman" w:hAnsi="Times New Roman"/>
          <w:sz w:val="24"/>
          <w:szCs w:val="24"/>
          <w:lang w:val="en-AU"/>
        </w:rPr>
      </w:pPr>
    </w:p>
    <w:p w14:paraId="09E144C7" w14:textId="77777777" w:rsidR="003F65CC" w:rsidRPr="00850F69" w:rsidRDefault="003F65CC" w:rsidP="003F65CC">
      <w:pPr>
        <w:pStyle w:val="Tabletitle"/>
        <w:jc w:val="left"/>
        <w:rPr>
          <w:rFonts w:ascii="Times New Roman" w:hAnsi="Times New Roman"/>
          <w:sz w:val="24"/>
          <w:szCs w:val="24"/>
        </w:rPr>
      </w:pPr>
      <w:r w:rsidRPr="00850F69">
        <w:rPr>
          <w:rFonts w:ascii="Times New Roman" w:hAnsi="Times New Roman"/>
          <w:sz w:val="24"/>
          <w:szCs w:val="24"/>
          <w:lang w:val="en-AU"/>
        </w:rPr>
        <w:t>5</w:t>
      </w:r>
      <w:r w:rsidRPr="00850F69">
        <w:rPr>
          <w:rFonts w:ascii="Times New Roman" w:hAnsi="Times New Roman"/>
          <w:sz w:val="24"/>
          <w:szCs w:val="24"/>
        </w:rPr>
        <w:t> 570</w:t>
      </w:r>
      <w:r w:rsidRPr="00850F69">
        <w:rPr>
          <w:rFonts w:ascii="Times New Roman" w:hAnsi="Times New Roman"/>
          <w:sz w:val="24"/>
          <w:szCs w:val="24"/>
          <w:lang w:val="en-AU"/>
        </w:rPr>
        <w:t>-6 700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3F65CC" w:rsidRPr="00850F69" w14:paraId="1502DC89" w14:textId="77777777" w:rsidTr="00526884">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22183054"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Allocation to services</w:t>
            </w:r>
          </w:p>
        </w:tc>
      </w:tr>
      <w:tr w:rsidR="003F65CC" w:rsidRPr="00850F69" w14:paraId="5EC72E2C" w14:textId="77777777" w:rsidTr="00526884">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29D33B54"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Region 1</w:t>
            </w:r>
          </w:p>
        </w:tc>
        <w:tc>
          <w:tcPr>
            <w:tcW w:w="3099" w:type="dxa"/>
            <w:tcBorders>
              <w:top w:val="single" w:sz="6" w:space="0" w:color="auto"/>
              <w:left w:val="single" w:sz="6" w:space="0" w:color="auto"/>
              <w:bottom w:val="single" w:sz="6" w:space="0" w:color="auto"/>
              <w:right w:val="single" w:sz="6" w:space="0" w:color="auto"/>
            </w:tcBorders>
            <w:hideMark/>
          </w:tcPr>
          <w:p w14:paraId="2797CAE7"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Region 2</w:t>
            </w:r>
          </w:p>
        </w:tc>
        <w:tc>
          <w:tcPr>
            <w:tcW w:w="3100" w:type="dxa"/>
            <w:tcBorders>
              <w:top w:val="single" w:sz="6" w:space="0" w:color="auto"/>
              <w:left w:val="single" w:sz="6" w:space="0" w:color="auto"/>
              <w:bottom w:val="single" w:sz="6" w:space="0" w:color="auto"/>
              <w:right w:val="single" w:sz="6" w:space="0" w:color="auto"/>
            </w:tcBorders>
            <w:hideMark/>
          </w:tcPr>
          <w:p w14:paraId="054FBB0A"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Region 3</w:t>
            </w:r>
          </w:p>
        </w:tc>
      </w:tr>
      <w:tr w:rsidR="003F65CC" w:rsidRPr="00850F69" w14:paraId="1D899942" w14:textId="77777777" w:rsidTr="005268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A432906" w14:textId="77777777" w:rsidR="003F65CC" w:rsidRPr="00850F69" w:rsidRDefault="003F65CC" w:rsidP="00526884">
            <w:pPr>
              <w:pStyle w:val="TableTextS5"/>
              <w:tabs>
                <w:tab w:val="clear" w:pos="170"/>
                <w:tab w:val="clear" w:pos="567"/>
                <w:tab w:val="clear" w:pos="737"/>
              </w:tabs>
              <w:spacing w:before="60" w:after="60" w:line="210" w:lineRule="exact"/>
              <w:rPr>
                <w:rStyle w:val="Artref"/>
                <w:rFonts w:eastAsiaTheme="majorEastAsia"/>
                <w:b/>
                <w:color w:val="000000"/>
                <w:sz w:val="24"/>
                <w:szCs w:val="24"/>
              </w:rPr>
            </w:pPr>
            <w:r w:rsidRPr="00850F69">
              <w:rPr>
                <w:rStyle w:val="Tablefreq"/>
                <w:sz w:val="24"/>
                <w:szCs w:val="24"/>
              </w:rPr>
              <w:t xml:space="preserve">                                                                                      …</w:t>
            </w:r>
          </w:p>
        </w:tc>
      </w:tr>
      <w:tr w:rsidR="003F65CC" w:rsidRPr="00850F69" w14:paraId="52A85E52" w14:textId="77777777" w:rsidTr="005268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2C936CB" w14:textId="77777777" w:rsidR="003F65CC" w:rsidRPr="00850F69" w:rsidRDefault="003F65CC" w:rsidP="00526884">
            <w:pPr>
              <w:pStyle w:val="TableTextS5"/>
              <w:spacing w:before="60" w:after="60" w:line="210" w:lineRule="exact"/>
              <w:rPr>
                <w:color w:val="000000"/>
                <w:sz w:val="24"/>
                <w:szCs w:val="24"/>
                <w:lang w:val="en-US"/>
              </w:rPr>
            </w:pPr>
            <w:r w:rsidRPr="00850F69">
              <w:rPr>
                <w:rStyle w:val="Tablefreq"/>
                <w:sz w:val="24"/>
                <w:szCs w:val="24"/>
              </w:rPr>
              <w:t>5 925-6 700</w:t>
            </w:r>
            <w:r w:rsidRPr="00850F69">
              <w:rPr>
                <w:color w:val="000000"/>
                <w:sz w:val="24"/>
                <w:szCs w:val="24"/>
                <w:lang w:val="en-AU"/>
              </w:rPr>
              <w:tab/>
            </w:r>
            <w:proofErr w:type="gramStart"/>
            <w:r w:rsidRPr="00850F69">
              <w:rPr>
                <w:color w:val="000000"/>
                <w:sz w:val="24"/>
                <w:szCs w:val="24"/>
              </w:rPr>
              <w:t xml:space="preserve">FIXED  </w:t>
            </w:r>
            <w:r w:rsidRPr="00850F69">
              <w:rPr>
                <w:rStyle w:val="Artref"/>
                <w:rFonts w:eastAsiaTheme="majorEastAsia"/>
                <w:color w:val="000000"/>
                <w:sz w:val="24"/>
                <w:szCs w:val="24"/>
              </w:rPr>
              <w:t>5.457</w:t>
            </w:r>
            <w:proofErr w:type="gramEnd"/>
          </w:p>
          <w:p w14:paraId="3C47DDF7" w14:textId="77777777" w:rsidR="003F65CC" w:rsidRPr="00850F69" w:rsidRDefault="003F65CC" w:rsidP="00526884">
            <w:pPr>
              <w:pStyle w:val="TableTextS5"/>
              <w:tabs>
                <w:tab w:val="clear" w:pos="567"/>
                <w:tab w:val="clear" w:pos="737"/>
              </w:tabs>
              <w:spacing w:before="60" w:after="60" w:line="210" w:lineRule="exact"/>
              <w:rPr>
                <w:rStyle w:val="Artref"/>
                <w:rFonts w:eastAsiaTheme="majorEastAsia"/>
                <w:color w:val="000000"/>
                <w:sz w:val="24"/>
                <w:szCs w:val="24"/>
              </w:rPr>
            </w:pPr>
            <w:r w:rsidRPr="00850F69">
              <w:rPr>
                <w:color w:val="000000"/>
                <w:sz w:val="24"/>
                <w:szCs w:val="24"/>
                <w:lang w:val="en-US"/>
              </w:rPr>
              <w:tab/>
            </w:r>
            <w:r w:rsidRPr="00850F69">
              <w:rPr>
                <w:color w:val="000000"/>
                <w:sz w:val="24"/>
                <w:szCs w:val="24"/>
                <w:lang w:val="en-US"/>
              </w:rPr>
              <w:tab/>
            </w:r>
            <w:r w:rsidRPr="00850F69">
              <w:rPr>
                <w:sz w:val="24"/>
                <w:szCs w:val="24"/>
              </w:rPr>
              <w:t>FIXED-SATELLITE (Earth-to-space) 5.457A 5.457B</w:t>
            </w:r>
          </w:p>
          <w:p w14:paraId="2C1B2CDD" w14:textId="77777777" w:rsidR="003F65CC" w:rsidRPr="00850F69" w:rsidRDefault="003F65CC" w:rsidP="00526884">
            <w:pPr>
              <w:pStyle w:val="TableTextS5"/>
              <w:tabs>
                <w:tab w:val="clear" w:pos="567"/>
                <w:tab w:val="clear" w:pos="737"/>
              </w:tabs>
              <w:spacing w:before="60" w:after="60" w:line="210" w:lineRule="exact"/>
              <w:rPr>
                <w:color w:val="000000"/>
                <w:sz w:val="24"/>
                <w:szCs w:val="24"/>
                <w:lang w:val="en-US"/>
              </w:rPr>
            </w:pPr>
            <w:r w:rsidRPr="00850F69">
              <w:rPr>
                <w:color w:val="000000"/>
                <w:sz w:val="24"/>
                <w:szCs w:val="24"/>
              </w:rPr>
              <w:tab/>
            </w:r>
            <w:r w:rsidRPr="00850F69">
              <w:rPr>
                <w:color w:val="000000"/>
                <w:sz w:val="24"/>
                <w:szCs w:val="24"/>
              </w:rPr>
              <w:tab/>
              <w:t xml:space="preserve">MOBILE </w:t>
            </w:r>
            <w:r w:rsidRPr="00850F69">
              <w:rPr>
                <w:rStyle w:val="Artref"/>
                <w:rFonts w:eastAsiaTheme="majorEastAsia"/>
                <w:color w:val="000000"/>
                <w:sz w:val="24"/>
                <w:szCs w:val="24"/>
                <w:lang w:val="en-US"/>
              </w:rPr>
              <w:t>5.457C</w:t>
            </w:r>
          </w:p>
          <w:p w14:paraId="2994F5D9" w14:textId="77777777" w:rsidR="003F65CC" w:rsidRPr="00850F69" w:rsidRDefault="003F65CC" w:rsidP="00526884">
            <w:pPr>
              <w:pStyle w:val="TableTextS5"/>
              <w:tabs>
                <w:tab w:val="clear" w:pos="567"/>
                <w:tab w:val="clear" w:pos="737"/>
              </w:tabs>
              <w:spacing w:before="60" w:after="60" w:line="210" w:lineRule="exact"/>
              <w:rPr>
                <w:color w:val="000000"/>
                <w:sz w:val="24"/>
                <w:szCs w:val="24"/>
              </w:rPr>
            </w:pPr>
            <w:r w:rsidRPr="00850F69">
              <w:rPr>
                <w:rStyle w:val="Artref"/>
                <w:rFonts w:eastAsiaTheme="majorEastAsia"/>
                <w:color w:val="000000"/>
                <w:sz w:val="24"/>
                <w:szCs w:val="24"/>
              </w:rPr>
              <w:tab/>
            </w:r>
            <w:r w:rsidRPr="00850F69">
              <w:rPr>
                <w:rStyle w:val="Artref"/>
                <w:rFonts w:eastAsiaTheme="majorEastAsia"/>
                <w:color w:val="000000"/>
                <w:sz w:val="24"/>
                <w:szCs w:val="24"/>
              </w:rPr>
              <w:tab/>
            </w:r>
            <w:proofErr w:type="gramStart"/>
            <w:r w:rsidRPr="00850F69">
              <w:rPr>
                <w:rStyle w:val="Artref"/>
                <w:rFonts w:eastAsiaTheme="majorEastAsia"/>
                <w:color w:val="000000"/>
                <w:sz w:val="24"/>
                <w:szCs w:val="24"/>
              </w:rPr>
              <w:t>5.149  5.440</w:t>
            </w:r>
            <w:proofErr w:type="gramEnd"/>
            <w:r w:rsidRPr="00850F69">
              <w:rPr>
                <w:rStyle w:val="Artref"/>
                <w:rFonts w:eastAsiaTheme="majorEastAsia"/>
                <w:color w:val="000000"/>
                <w:sz w:val="24"/>
                <w:szCs w:val="24"/>
              </w:rPr>
              <w:t xml:space="preserve">  5.458</w:t>
            </w:r>
          </w:p>
        </w:tc>
      </w:tr>
    </w:tbl>
    <w:p w14:paraId="20375D7D" w14:textId="77777777" w:rsidR="003F65CC" w:rsidRPr="00850F69" w:rsidRDefault="003F65CC" w:rsidP="003F65CC">
      <w:pPr>
        <w:pStyle w:val="Reasons"/>
        <w:rPr>
          <w:b/>
          <w:szCs w:val="24"/>
        </w:rPr>
      </w:pPr>
    </w:p>
    <w:p w14:paraId="070A34E4" w14:textId="77777777" w:rsidR="003F65CC" w:rsidRPr="00850F69" w:rsidRDefault="003F65CC" w:rsidP="003F65CC">
      <w:pPr>
        <w:pStyle w:val="Tabletitle"/>
        <w:jc w:val="left"/>
        <w:rPr>
          <w:rFonts w:ascii="Times New Roman" w:hAnsi="Times New Roman"/>
          <w:sz w:val="24"/>
          <w:szCs w:val="24"/>
        </w:rPr>
      </w:pPr>
      <w:r w:rsidRPr="00850F69">
        <w:rPr>
          <w:rFonts w:ascii="Times New Roman" w:hAnsi="Times New Roman"/>
          <w:sz w:val="24"/>
          <w:szCs w:val="24"/>
          <w:lang w:val="en-AU"/>
        </w:rPr>
        <w:t>6 700- 7 250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3F65CC" w:rsidRPr="00850F69" w14:paraId="4E79797A" w14:textId="77777777" w:rsidTr="00526884">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2D9BD650"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Allocation to services</w:t>
            </w:r>
          </w:p>
        </w:tc>
      </w:tr>
      <w:tr w:rsidR="003F65CC" w:rsidRPr="00850F69" w14:paraId="5AEBE73C" w14:textId="77777777" w:rsidTr="00526884">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253622ED"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Region 1</w:t>
            </w:r>
          </w:p>
        </w:tc>
        <w:tc>
          <w:tcPr>
            <w:tcW w:w="3099" w:type="dxa"/>
            <w:tcBorders>
              <w:top w:val="single" w:sz="6" w:space="0" w:color="auto"/>
              <w:left w:val="single" w:sz="6" w:space="0" w:color="auto"/>
              <w:bottom w:val="single" w:sz="6" w:space="0" w:color="auto"/>
              <w:right w:val="single" w:sz="6" w:space="0" w:color="auto"/>
            </w:tcBorders>
            <w:hideMark/>
          </w:tcPr>
          <w:p w14:paraId="28E69D44"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Region 2</w:t>
            </w:r>
          </w:p>
        </w:tc>
        <w:tc>
          <w:tcPr>
            <w:tcW w:w="3100" w:type="dxa"/>
            <w:tcBorders>
              <w:top w:val="single" w:sz="6" w:space="0" w:color="auto"/>
              <w:left w:val="single" w:sz="6" w:space="0" w:color="auto"/>
              <w:bottom w:val="single" w:sz="6" w:space="0" w:color="auto"/>
              <w:right w:val="single" w:sz="6" w:space="0" w:color="auto"/>
            </w:tcBorders>
            <w:hideMark/>
          </w:tcPr>
          <w:p w14:paraId="322BF1E7" w14:textId="77777777" w:rsidR="003F65CC" w:rsidRPr="00850F69" w:rsidRDefault="003F65CC" w:rsidP="00526884">
            <w:pPr>
              <w:pStyle w:val="Tablehead"/>
              <w:jc w:val="left"/>
              <w:rPr>
                <w:rFonts w:ascii="Times New Roman" w:hAnsi="Times New Roman" w:cs="Times New Roman"/>
                <w:sz w:val="24"/>
                <w:szCs w:val="24"/>
              </w:rPr>
            </w:pPr>
            <w:r w:rsidRPr="00850F69">
              <w:rPr>
                <w:rFonts w:ascii="Times New Roman" w:hAnsi="Times New Roman" w:cs="Times New Roman"/>
                <w:sz w:val="24"/>
                <w:szCs w:val="24"/>
              </w:rPr>
              <w:t>Region 3</w:t>
            </w:r>
          </w:p>
        </w:tc>
      </w:tr>
      <w:tr w:rsidR="003F65CC" w:rsidRPr="00850F69" w14:paraId="6DD3DB8A" w14:textId="77777777" w:rsidTr="00526884">
        <w:trPr>
          <w:cantSplit/>
          <w:trHeight w:val="1155"/>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712CB1B" w14:textId="77777777" w:rsidR="003F65CC" w:rsidRPr="00850F69" w:rsidRDefault="003F65CC" w:rsidP="00526884">
            <w:pPr>
              <w:pStyle w:val="TableTextS5"/>
              <w:spacing w:before="60" w:after="60" w:line="210" w:lineRule="exact"/>
              <w:rPr>
                <w:color w:val="000000"/>
                <w:sz w:val="24"/>
                <w:szCs w:val="24"/>
                <w:lang w:val="en-US"/>
              </w:rPr>
            </w:pPr>
            <w:r w:rsidRPr="00850F69">
              <w:rPr>
                <w:rStyle w:val="Tablefreq"/>
                <w:sz w:val="24"/>
                <w:szCs w:val="24"/>
              </w:rPr>
              <w:t>6 700-7 075</w:t>
            </w:r>
            <w:r w:rsidRPr="00850F69">
              <w:rPr>
                <w:color w:val="000000"/>
                <w:sz w:val="24"/>
                <w:szCs w:val="24"/>
                <w:lang w:val="en-AU"/>
              </w:rPr>
              <w:tab/>
            </w:r>
            <w:r w:rsidRPr="00850F69">
              <w:rPr>
                <w:color w:val="000000"/>
                <w:sz w:val="24"/>
                <w:szCs w:val="24"/>
              </w:rPr>
              <w:t xml:space="preserve">FIXED  </w:t>
            </w:r>
          </w:p>
          <w:p w14:paraId="17068A47" w14:textId="77777777" w:rsidR="003F65CC" w:rsidRPr="00850F69" w:rsidRDefault="003F65CC" w:rsidP="00526884">
            <w:pPr>
              <w:pStyle w:val="TableTextS5"/>
              <w:tabs>
                <w:tab w:val="clear" w:pos="567"/>
                <w:tab w:val="clear" w:pos="737"/>
              </w:tabs>
              <w:spacing w:before="60" w:after="60" w:line="210" w:lineRule="exact"/>
              <w:rPr>
                <w:rStyle w:val="Artref"/>
                <w:rFonts w:eastAsiaTheme="majorEastAsia"/>
                <w:color w:val="000000"/>
                <w:sz w:val="24"/>
                <w:szCs w:val="24"/>
              </w:rPr>
            </w:pPr>
            <w:r w:rsidRPr="00850F69">
              <w:rPr>
                <w:color w:val="000000"/>
                <w:sz w:val="24"/>
                <w:szCs w:val="24"/>
                <w:lang w:val="en-US"/>
              </w:rPr>
              <w:tab/>
            </w:r>
            <w:r w:rsidRPr="00850F69">
              <w:rPr>
                <w:color w:val="000000"/>
                <w:sz w:val="24"/>
                <w:szCs w:val="24"/>
                <w:lang w:val="en-US"/>
              </w:rPr>
              <w:tab/>
            </w:r>
            <w:r w:rsidRPr="00850F69">
              <w:rPr>
                <w:sz w:val="24"/>
                <w:szCs w:val="24"/>
              </w:rPr>
              <w:t>FIXED-SATELLITE (Earth-to-space) (space-to-Earth) 5.441</w:t>
            </w:r>
          </w:p>
          <w:p w14:paraId="70F3737F" w14:textId="77777777" w:rsidR="003F65CC" w:rsidRPr="00850F69" w:rsidRDefault="003F65CC" w:rsidP="00526884">
            <w:pPr>
              <w:pStyle w:val="TableTextS5"/>
              <w:tabs>
                <w:tab w:val="clear" w:pos="567"/>
                <w:tab w:val="clear" w:pos="737"/>
              </w:tabs>
              <w:spacing w:before="60" w:after="60" w:line="210" w:lineRule="exact"/>
              <w:rPr>
                <w:color w:val="000000"/>
                <w:sz w:val="24"/>
                <w:szCs w:val="24"/>
                <w:lang w:val="en-US"/>
              </w:rPr>
            </w:pPr>
            <w:r w:rsidRPr="00850F69">
              <w:rPr>
                <w:color w:val="000000"/>
                <w:sz w:val="24"/>
                <w:szCs w:val="24"/>
              </w:rPr>
              <w:tab/>
            </w:r>
            <w:r w:rsidRPr="00850F69">
              <w:rPr>
                <w:color w:val="000000"/>
                <w:sz w:val="24"/>
                <w:szCs w:val="24"/>
              </w:rPr>
              <w:tab/>
              <w:t>MOBILE</w:t>
            </w:r>
          </w:p>
          <w:p w14:paraId="46A2C7B2" w14:textId="77777777" w:rsidR="003F65CC" w:rsidRPr="00850F69" w:rsidRDefault="003F65CC" w:rsidP="00526884">
            <w:pPr>
              <w:pStyle w:val="TableTextS5"/>
              <w:tabs>
                <w:tab w:val="clear" w:pos="567"/>
                <w:tab w:val="clear" w:pos="737"/>
              </w:tabs>
              <w:spacing w:before="60" w:after="60" w:line="210" w:lineRule="exact"/>
              <w:rPr>
                <w:color w:val="000000"/>
                <w:sz w:val="24"/>
                <w:szCs w:val="24"/>
              </w:rPr>
            </w:pPr>
            <w:r w:rsidRPr="00850F69">
              <w:rPr>
                <w:rStyle w:val="Artref"/>
                <w:rFonts w:eastAsiaTheme="majorEastAsia"/>
                <w:color w:val="000000"/>
                <w:sz w:val="24"/>
                <w:szCs w:val="24"/>
              </w:rPr>
              <w:tab/>
            </w:r>
            <w:r w:rsidRPr="00850F69">
              <w:rPr>
                <w:rStyle w:val="Artref"/>
                <w:rFonts w:eastAsiaTheme="majorEastAsia"/>
                <w:color w:val="000000"/>
                <w:sz w:val="24"/>
                <w:szCs w:val="24"/>
              </w:rPr>
              <w:tab/>
            </w:r>
            <w:proofErr w:type="gramStart"/>
            <w:r w:rsidRPr="00850F69">
              <w:rPr>
                <w:rStyle w:val="Artref"/>
                <w:rFonts w:eastAsiaTheme="majorEastAsia"/>
                <w:color w:val="000000"/>
                <w:sz w:val="24"/>
                <w:szCs w:val="24"/>
              </w:rPr>
              <w:t>5.458  5.458A</w:t>
            </w:r>
            <w:proofErr w:type="gramEnd"/>
            <w:r w:rsidRPr="00850F69">
              <w:rPr>
                <w:rStyle w:val="Artref"/>
                <w:rFonts w:eastAsiaTheme="majorEastAsia"/>
                <w:color w:val="000000"/>
                <w:sz w:val="24"/>
                <w:szCs w:val="24"/>
              </w:rPr>
              <w:t xml:space="preserve">  5.458B</w:t>
            </w:r>
          </w:p>
        </w:tc>
      </w:tr>
      <w:tr w:rsidR="003F65CC" w:rsidRPr="00850F69" w14:paraId="0460DB69" w14:textId="77777777" w:rsidTr="00526884">
        <w:trPr>
          <w:cantSplit/>
          <w:trHeight w:val="890"/>
          <w:jc w:val="center"/>
        </w:trPr>
        <w:tc>
          <w:tcPr>
            <w:tcW w:w="9299" w:type="dxa"/>
            <w:gridSpan w:val="3"/>
            <w:tcBorders>
              <w:top w:val="single" w:sz="4" w:space="0" w:color="auto"/>
              <w:left w:val="single" w:sz="4" w:space="0" w:color="auto"/>
              <w:bottom w:val="single" w:sz="4" w:space="0" w:color="auto"/>
              <w:right w:val="single" w:sz="4" w:space="0" w:color="auto"/>
            </w:tcBorders>
          </w:tcPr>
          <w:p w14:paraId="739A4234" w14:textId="77777777" w:rsidR="003F65CC" w:rsidRPr="00850F69" w:rsidRDefault="003F65CC" w:rsidP="00526884">
            <w:pPr>
              <w:pStyle w:val="TableTextS5"/>
              <w:spacing w:before="60" w:after="60" w:line="210" w:lineRule="exact"/>
              <w:rPr>
                <w:color w:val="000000"/>
                <w:sz w:val="24"/>
                <w:szCs w:val="24"/>
                <w:lang w:val="en-US"/>
              </w:rPr>
            </w:pPr>
            <w:r w:rsidRPr="00850F69">
              <w:rPr>
                <w:rStyle w:val="Tablefreq"/>
                <w:sz w:val="24"/>
                <w:szCs w:val="24"/>
              </w:rPr>
              <w:t>7 075-7 145</w:t>
            </w:r>
            <w:r w:rsidRPr="00850F69">
              <w:rPr>
                <w:color w:val="000000"/>
                <w:sz w:val="24"/>
                <w:szCs w:val="24"/>
                <w:lang w:val="en-AU"/>
              </w:rPr>
              <w:tab/>
            </w:r>
            <w:r w:rsidRPr="00850F69">
              <w:rPr>
                <w:color w:val="000000"/>
                <w:sz w:val="24"/>
                <w:szCs w:val="24"/>
              </w:rPr>
              <w:t xml:space="preserve">FIXED </w:t>
            </w:r>
          </w:p>
          <w:p w14:paraId="7FEAB581" w14:textId="77777777" w:rsidR="003F65CC" w:rsidRPr="00850F69" w:rsidRDefault="003F65CC" w:rsidP="00526884">
            <w:pPr>
              <w:pStyle w:val="TableTextS5"/>
              <w:tabs>
                <w:tab w:val="clear" w:pos="567"/>
                <w:tab w:val="clear" w:pos="737"/>
              </w:tabs>
              <w:spacing w:before="60" w:after="60" w:line="210" w:lineRule="exact"/>
              <w:rPr>
                <w:color w:val="000000"/>
                <w:sz w:val="24"/>
                <w:szCs w:val="24"/>
                <w:lang w:val="en-US"/>
              </w:rPr>
            </w:pPr>
            <w:r w:rsidRPr="00850F69">
              <w:rPr>
                <w:color w:val="000000"/>
                <w:sz w:val="24"/>
                <w:szCs w:val="24"/>
                <w:lang w:val="en-US"/>
              </w:rPr>
              <w:tab/>
            </w:r>
            <w:r w:rsidRPr="00850F69">
              <w:rPr>
                <w:color w:val="000000"/>
                <w:sz w:val="24"/>
                <w:szCs w:val="24"/>
                <w:lang w:val="en-US"/>
              </w:rPr>
              <w:tab/>
            </w:r>
            <w:r w:rsidRPr="00850F69">
              <w:rPr>
                <w:color w:val="000000"/>
                <w:sz w:val="24"/>
                <w:szCs w:val="24"/>
              </w:rPr>
              <w:t>MOBILE</w:t>
            </w:r>
          </w:p>
          <w:p w14:paraId="6A42165D" w14:textId="77777777" w:rsidR="003F65CC" w:rsidRPr="00850F69" w:rsidRDefault="003F65CC" w:rsidP="00526884">
            <w:pPr>
              <w:pStyle w:val="TableTextS5"/>
              <w:spacing w:before="60" w:after="60" w:line="210" w:lineRule="exact"/>
              <w:ind w:left="567"/>
              <w:rPr>
                <w:rStyle w:val="Tablefreq"/>
                <w:sz w:val="24"/>
                <w:szCs w:val="24"/>
              </w:rPr>
            </w:pPr>
            <w:r w:rsidRPr="00850F69">
              <w:rPr>
                <w:rStyle w:val="Artref"/>
                <w:rFonts w:eastAsiaTheme="majorEastAsia"/>
                <w:color w:val="000000"/>
                <w:sz w:val="24"/>
                <w:szCs w:val="24"/>
              </w:rPr>
              <w:tab/>
            </w:r>
            <w:r w:rsidRPr="00850F69">
              <w:rPr>
                <w:rStyle w:val="Artref"/>
                <w:rFonts w:eastAsiaTheme="majorEastAsia"/>
                <w:color w:val="000000"/>
                <w:sz w:val="24"/>
                <w:szCs w:val="24"/>
              </w:rPr>
              <w:tab/>
            </w:r>
            <w:proofErr w:type="gramStart"/>
            <w:r w:rsidRPr="00850F69">
              <w:rPr>
                <w:rStyle w:val="Artref"/>
                <w:rFonts w:eastAsiaTheme="majorEastAsia"/>
                <w:color w:val="000000"/>
                <w:sz w:val="24"/>
                <w:szCs w:val="24"/>
              </w:rPr>
              <w:t>5.458  5</w:t>
            </w:r>
            <w:proofErr w:type="gramEnd"/>
            <w:r w:rsidRPr="00850F69">
              <w:rPr>
                <w:rStyle w:val="Artref"/>
                <w:rFonts w:eastAsiaTheme="majorEastAsia"/>
                <w:color w:val="000000"/>
                <w:sz w:val="24"/>
                <w:szCs w:val="24"/>
              </w:rPr>
              <w:t>.549</w:t>
            </w:r>
          </w:p>
        </w:tc>
      </w:tr>
      <w:tr w:rsidR="003F65CC" w:rsidRPr="00850F69" w14:paraId="022F9CA3" w14:textId="77777777" w:rsidTr="0052688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CDF4A8" w14:textId="77777777" w:rsidR="003F65CC" w:rsidRPr="00850F69" w:rsidRDefault="003F65CC" w:rsidP="00526884">
            <w:pPr>
              <w:pStyle w:val="TableTextS5"/>
              <w:tabs>
                <w:tab w:val="clear" w:pos="170"/>
                <w:tab w:val="clear" w:pos="567"/>
                <w:tab w:val="clear" w:pos="737"/>
              </w:tabs>
              <w:spacing w:before="60" w:after="60" w:line="210" w:lineRule="exact"/>
              <w:rPr>
                <w:rStyle w:val="Artref"/>
                <w:rFonts w:eastAsiaTheme="majorEastAsia"/>
                <w:b/>
                <w:color w:val="000000"/>
                <w:sz w:val="24"/>
                <w:szCs w:val="24"/>
              </w:rPr>
            </w:pPr>
            <w:r w:rsidRPr="00850F69">
              <w:rPr>
                <w:rStyle w:val="Tablefreq"/>
                <w:sz w:val="24"/>
                <w:szCs w:val="24"/>
              </w:rPr>
              <w:t>…</w:t>
            </w:r>
          </w:p>
        </w:tc>
      </w:tr>
    </w:tbl>
    <w:p w14:paraId="3D86C1BE" w14:textId="365B1BDA" w:rsidR="003F65CC" w:rsidRPr="00850F69" w:rsidRDefault="27A1DE87" w:rsidP="23ED5CD9">
      <w:pPr>
        <w:pStyle w:val="Reasons"/>
      </w:pPr>
      <w:r w:rsidRPr="23ED5CD9">
        <w:rPr>
          <w:b/>
          <w:bCs/>
        </w:rPr>
        <w:t>Reasons</w:t>
      </w:r>
      <w:r>
        <w:t xml:space="preserve">:  No change to the Table of Frequency Allocations in the band 6 425 – 7 125 MHz </w:t>
      </w:r>
      <w:proofErr w:type="gramStart"/>
      <w:r>
        <w:t>in order to</w:t>
      </w:r>
      <w:proofErr w:type="gramEnd"/>
      <w:r>
        <w:t xml:space="preserve"> harmonize license-exempt use of the band.  Regulatory harmonization will create economies of scope and scale and produce a robust equipment market, benefitting consumers and national economies worldwide.  Given the existing mobile allocation, administrations may deploy and operate systems and applications of the mobile service (</w:t>
      </w:r>
      <w:proofErr w:type="gramStart"/>
      <w:r>
        <w:t>e.g.</w:t>
      </w:r>
      <w:proofErr w:type="gramEnd"/>
      <w:r>
        <w:t xml:space="preserve"> IMT or RLAN) based on their national priorities and requirements.</w:t>
      </w:r>
    </w:p>
    <w:p w14:paraId="4EEB83EB" w14:textId="75C35A6E" w:rsidR="00DF6653" w:rsidRPr="00EE3CD2" w:rsidRDefault="003F65CC" w:rsidP="003F65CC">
      <w:pPr>
        <w:widowControl w:val="0"/>
        <w:autoSpaceDE w:val="0"/>
        <w:autoSpaceDN w:val="0"/>
        <w:adjustRightInd w:val="0"/>
        <w:jc w:val="center"/>
        <w:rPr>
          <w:sz w:val="24"/>
        </w:rPr>
      </w:pPr>
      <w:r w:rsidRPr="00850F69">
        <w:rPr>
          <w:sz w:val="24"/>
          <w:szCs w:val="24"/>
        </w:rPr>
        <w:t>_______</w:t>
      </w:r>
    </w:p>
    <w:sectPr w:rsidR="00DF6653" w:rsidRPr="00EE3CD2" w:rsidSect="003701A5">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34EE" w14:textId="77777777" w:rsidR="006A0040" w:rsidRDefault="006A0040">
      <w:r>
        <w:separator/>
      </w:r>
    </w:p>
  </w:endnote>
  <w:endnote w:type="continuationSeparator" w:id="0">
    <w:p w14:paraId="77FBA946" w14:textId="77777777" w:rsidR="006A0040" w:rsidRDefault="006A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ZapfHumnst BT">
    <w:altName w:val="Century Gothic"/>
    <w:panose1 w:val="020B0604020202020204"/>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AvenirNext LT Pro 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20796376" w:rsidR="00C41FAE" w:rsidRDefault="00C41FAE" w:rsidP="00D87E29">
    <w:pPr>
      <w:pStyle w:val="Footer"/>
      <w:ind w:right="360"/>
    </w:pPr>
    <w:r>
      <w:rPr>
        <w:snapToGrid w:val="0"/>
      </w:rPr>
      <w:fldChar w:fldCharType="begin"/>
    </w:r>
    <w:r>
      <w:rPr>
        <w:snapToGrid w:val="0"/>
      </w:rPr>
      <w:instrText xml:space="preserve"> FILENAME </w:instrText>
    </w:r>
    <w:r>
      <w:rPr>
        <w:snapToGrid w:val="0"/>
      </w:rPr>
      <w:fldChar w:fldCharType="separate"/>
    </w:r>
    <w:r w:rsidR="00E70641">
      <w:rPr>
        <w:noProof/>
        <w:snapToGrid w:val="0"/>
      </w:rPr>
      <w:t>Document1</w:t>
    </w:r>
    <w:r>
      <w:rPr>
        <w:snapToGrid w:val="0"/>
      </w:rPr>
      <w:fldChar w:fldCharType="end"/>
    </w:r>
    <w:r>
      <w:tab/>
    </w:r>
    <w:r>
      <w:fldChar w:fldCharType="begin"/>
    </w:r>
    <w:r>
      <w:instrText xml:space="preserve"> savedate \@ dd.MM.yy </w:instrText>
    </w:r>
    <w:r>
      <w:fldChar w:fldCharType="separate"/>
    </w:r>
    <w:r w:rsidR="006C62B8">
      <w:rPr>
        <w:noProof/>
      </w:rPr>
      <w:t>29.03.22</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w:t>
    </w:r>
    <w:proofErr w:type="gramStart"/>
    <w:r w:rsidRPr="00B71FAB">
      <w:rPr>
        <w:rFonts w:ascii="Arial" w:hAnsi="Arial"/>
        <w:sz w:val="16"/>
        <w:lang w:val="pt-BR"/>
      </w:rPr>
      <w:t xml:space="preserve">6854 </w:t>
    </w:r>
    <w:r w:rsidR="006445B1">
      <w:rPr>
        <w:rFonts w:ascii="Arial" w:hAnsi="Arial"/>
        <w:sz w:val="16"/>
        <w:lang w:val="pt-BR"/>
      </w:rPr>
      <w:t xml:space="preserve">   </w:t>
    </w:r>
    <w:r w:rsidRPr="00B71FAB">
      <w:rPr>
        <w:rFonts w:ascii="Arial" w:hAnsi="Arial"/>
        <w:sz w:val="16"/>
        <w:lang w:val="pt-BR"/>
      </w:rPr>
      <w:t>e-mail</w:t>
    </w:r>
    <w:proofErr w:type="gramEnd"/>
    <w:r w:rsidRPr="00B71FAB">
      <w:rPr>
        <w:rFonts w:ascii="Arial" w:hAnsi="Arial"/>
        <w:sz w:val="16"/>
        <w:lang w:val="pt-BR"/>
      </w:rPr>
      <w:t xml:space="preserve">: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385D" w14:textId="77777777" w:rsidR="006A0040" w:rsidRDefault="006A0040">
      <w:r>
        <w:separator/>
      </w:r>
    </w:p>
  </w:footnote>
  <w:footnote w:type="continuationSeparator" w:id="0">
    <w:p w14:paraId="77E13EDE" w14:textId="77777777" w:rsidR="006A0040" w:rsidRDefault="006A0040">
      <w:r>
        <w:continuationSeparator/>
      </w:r>
    </w:p>
  </w:footnote>
  <w:footnote w:id="1">
    <w:p w14:paraId="627127F1" w14:textId="77777777" w:rsidR="003F65CC" w:rsidRPr="003F65CC" w:rsidRDefault="003F65CC" w:rsidP="003F65CC">
      <w:pPr>
        <w:pStyle w:val="FootnoteText"/>
        <w:rPr>
          <w:rFonts w:ascii="Times New Roman" w:hAnsi="Times New Roman"/>
        </w:rPr>
      </w:pPr>
      <w:r w:rsidRPr="002C7C66">
        <w:rPr>
          <w:rStyle w:val="FootnoteReference"/>
          <w:sz w:val="24"/>
          <w:szCs w:val="24"/>
        </w:rPr>
        <w:footnoteRef/>
      </w:r>
      <w:r w:rsidRPr="002C7C66">
        <w:rPr>
          <w:sz w:val="24"/>
          <w:szCs w:val="24"/>
        </w:rPr>
        <w:t xml:space="preserve"> </w:t>
      </w:r>
      <w:r w:rsidRPr="003F65CC">
        <w:rPr>
          <w:rFonts w:ascii="Times New Roman" w:hAnsi="Times New Roman"/>
        </w:rPr>
        <w:t>https://www.itu.int/en/ITU-D/Statistics/Documents/facts/FactsFigures2021.pdf</w:t>
      </w:r>
    </w:p>
  </w:footnote>
  <w:footnote w:id="2">
    <w:p w14:paraId="2A163DAA" w14:textId="77777777" w:rsidR="003F65CC" w:rsidRPr="003F65CC" w:rsidRDefault="003F65CC" w:rsidP="003F65CC">
      <w:pPr>
        <w:pStyle w:val="FootnoteText"/>
        <w:rPr>
          <w:rFonts w:ascii="Times New Roman" w:hAnsi="Times New Roman"/>
        </w:rPr>
      </w:pPr>
      <w:r w:rsidRPr="003F65CC">
        <w:rPr>
          <w:rStyle w:val="FootnoteReference"/>
          <w:rFonts w:ascii="Times New Roman" w:hAnsi="Times New Roman"/>
        </w:rPr>
        <w:footnoteRef/>
      </w:r>
      <w:r w:rsidRPr="003F65CC">
        <w:rPr>
          <w:rFonts w:ascii="Times New Roman" w:hAnsi="Times New Roman"/>
        </w:rPr>
        <w:t xml:space="preserve"> https://www.itu.int/en/ITU-D/Statistics/Documents/facts/FactsFigures2021.pdf</w:t>
      </w:r>
    </w:p>
  </w:footnote>
  <w:footnote w:id="3">
    <w:p w14:paraId="324878ED" w14:textId="77777777" w:rsidR="003F65CC" w:rsidRDefault="003F65CC" w:rsidP="003F65CC">
      <w:pPr>
        <w:pStyle w:val="FootnoteText"/>
      </w:pPr>
      <w:r w:rsidRPr="003F65CC">
        <w:rPr>
          <w:rStyle w:val="FootnoteReference"/>
          <w:rFonts w:ascii="Times New Roman" w:hAnsi="Times New Roman"/>
        </w:rPr>
        <w:footnoteRef/>
      </w:r>
      <w:r w:rsidRPr="003F65CC">
        <w:rPr>
          <w:rFonts w:ascii="Times New Roman" w:hAnsi="Times New Roman"/>
        </w:rPr>
        <w:t xml:space="preserve"> Ericsson predicts that total mobile traffic is expected to increase by a factor of five over the next six years, reaching 164 exabytes per month by the end of 2025. Ericsson reports that today, smartphones generate about 95% of total mobile data traffic, and that by 2025, 5G networks will carry about half of the world’s mobile data traffic. </w:t>
      </w:r>
      <w:r w:rsidRPr="003F65CC">
        <w:rPr>
          <w:rFonts w:ascii="Times New Roman" w:hAnsi="Times New Roman"/>
          <w:i/>
          <w:iCs/>
        </w:rPr>
        <w:t xml:space="preserve">See </w:t>
      </w:r>
      <w:r w:rsidRPr="003F65CC">
        <w:rPr>
          <w:rFonts w:ascii="Times New Roman" w:hAnsi="Times New Roman"/>
        </w:rPr>
        <w:t xml:space="preserve">Ericsson, Mobility Report at 20 (2020), https://www.ericsson.com/49da93/assets/local/mobility-report/documents/2020/june2020-ericsson-mobility-report.pdf. Cisco estimates that, by 2022, 22% of global internet traffic will come from mobile networks, up from 12% in 2017. </w:t>
      </w:r>
      <w:r w:rsidRPr="003F65CC">
        <w:rPr>
          <w:rFonts w:ascii="Times New Roman" w:hAnsi="Times New Roman"/>
          <w:i/>
          <w:iCs/>
        </w:rPr>
        <w:t xml:space="preserve">See </w:t>
      </w:r>
      <w:r w:rsidRPr="003F65CC">
        <w:rPr>
          <w:rFonts w:ascii="Times New Roman" w:hAnsi="Times New Roman"/>
        </w:rPr>
        <w:t>Cisco Systems Inc., Cisco Visual Networking Index: Global Mobile Data Traffic Forecast Update, 2017-2022 White Paper (2019), https://www.cisco.com/c/en/us/solutions/collateral/service-provider/visual-networking-index-vni/white-paper-c11-738429.html.</w:t>
      </w:r>
      <w:r>
        <w:t xml:space="preserve">  </w:t>
      </w:r>
    </w:p>
  </w:footnote>
  <w:footnote w:id="4">
    <w:p w14:paraId="2153F198" w14:textId="77777777" w:rsidR="003F65CC" w:rsidRPr="003F65CC" w:rsidRDefault="003F65CC" w:rsidP="003F65CC">
      <w:pPr>
        <w:pStyle w:val="FootnoteText"/>
        <w:rPr>
          <w:rFonts w:ascii="Times New Roman" w:hAnsi="Times New Roman"/>
        </w:rPr>
      </w:pPr>
      <w:r w:rsidRPr="003F65CC">
        <w:rPr>
          <w:rStyle w:val="FootnoteReference"/>
          <w:rFonts w:ascii="Times New Roman" w:hAnsi="Times New Roman"/>
        </w:rPr>
        <w:footnoteRef/>
      </w:r>
      <w:r w:rsidRPr="003F65CC">
        <w:rPr>
          <w:rFonts w:ascii="Times New Roman" w:hAnsi="Times New Roman"/>
        </w:rPr>
        <w:t xml:space="preserve"> See Rec. ITU-R SM.1133, “Spectrum utilization of broadly defined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64759" w14:paraId="4F38018C" w14:textId="77777777" w:rsidTr="004E74AB">
      <w:trPr>
        <w:cantSplit/>
        <w:trHeight w:val="1629"/>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630E77">
                  <v:shape id="Freeform 5"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id="_x0000_s1026" o:allowincell="f" stroked="f" strokeweight="0" path="m20000,9565l18235,4348,13529,,4706,,1765,4348,,9565r1765,5218l4706,20000r8823,l18235,14783,20000,956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" w14:anchorId="6FDA021B">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9F1B01B">
                  <v:rect id="Rectangle 4"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strokeweight="0" w14:anchorId="269EA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wX6QIAAC8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JhC3BfpAgAALwYAAA4A&#10;AAAAAAAAAAAAAAAALgIAAGRycy9lMm9Eb2MueG1sUEsBAi0AFAAGAAgAAAAhAGsraJHfAAAADQEA&#10;AA8AAAAAAAAAAAAAAAAAQwUAAGRycy9kb3ducmV2LnhtbFBLBQYAAAAABAAEAPMAAABPBgAAAAA=&#1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EB0D584">
                  <v:rect id="Rectangle 3"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strokeweight="0" w14:anchorId="2DA6DA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n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BeXCdLqAgAALgYAAA4A&#10;AAAAAAAAAAAAAAAALgIAAGRycy9lMm9Eb2MueG1sUEsBAi0AFAAGAAgAAAAhAOarPw3eAAAADQEA&#10;AA8AAAAAAAAAAAAAAAAARAUAAGRycy9kb3ducmV2LnhtbFBLBQYAAAAABAAEAPMAAABPBgAAAAA=&#1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F83FDD">
                  <v:shape id="Freeform 2"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id="_x0000_s1026" o:allowincell="f" stroked="f" strokeweight="0" path="m20000,9863l19241,6849,17975,3836,15696,1370,12911,,7089,,4304,1370,2025,3836,759,6849,,9863r759,3288l2025,16164r2279,2192l7089,20000r5822,l15696,18356r2279,-2192l19241,13151r759,-328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" w14:anchorId="568FB8C9">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3BF1CA">
                  <v:rect id="Rectangle 1"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strokeweight="0" w14:anchorId="56E5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hw61DOkCAAAwBgAA&#10;DgAAAAAAAAAAAAAAAAAuAgAAZHJzL2Uyb0RvYy54bWxQSwECLQAUAAYACAAAACEApd+vi+EAAAAL&#10;AQAADwAAAAAAAAAAAAAAAABDBQAAZHJzL2Rvd25yZXYueG1sUEsFBgAAAAAEAAQA8wAAAFEGAAAA&#10;AA==&#10;"/>
                </w:pict>
              </mc:Fallback>
            </mc:AlternateContent>
          </w:r>
        </w:p>
      </w:tc>
      <w:tc>
        <w:tcPr>
          <w:tcW w:w="8730" w:type="dxa"/>
          <w:tcBorders>
            <w:bottom w:val="single" w:sz="18" w:space="0" w:color="auto"/>
          </w:tcBorders>
        </w:tcPr>
        <w:p w14:paraId="1F9C423D" w14:textId="4C7B7401" w:rsidR="00C41FAE" w:rsidRPr="00DF6653" w:rsidRDefault="00016AF3">
          <w:pPr>
            <w:ind w:left="290"/>
            <w:rPr>
              <w:rFonts w:ascii="ZapfHumnst BT" w:hAnsi="ZapfHumnst BT"/>
              <w:b/>
              <w:sz w:val="25"/>
              <w:lang w:val="es-ES"/>
            </w:rPr>
          </w:pPr>
          <w:r>
            <w:rPr>
              <w:rFonts w:ascii="ZapfHumnst BT" w:hAnsi="ZapfHumnst BT"/>
              <w:b/>
              <w:sz w:val="25"/>
              <w:lang w:val="es-ES"/>
            </w:rPr>
            <w:t>ORGANIZACIO</w:t>
          </w:r>
          <w:r w:rsidR="00C41FAE" w:rsidRPr="00DF6653">
            <w:rPr>
              <w:rFonts w:ascii="ZapfHumnst BT" w:hAnsi="ZapfHumnst BT"/>
              <w:b/>
              <w:sz w:val="25"/>
              <w:lang w:val="es-ES"/>
            </w:rPr>
            <w:t xml:space="preserve">N DE LOS ESTADOS AMERICANOS </w:t>
          </w:r>
        </w:p>
        <w:p w14:paraId="48A5CFC3" w14:textId="77777777" w:rsidR="00C41FAE" w:rsidRPr="00DF6653" w:rsidRDefault="00C41FAE">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1C204F1F" w14:textId="77777777" w:rsidR="00C41FAE" w:rsidRPr="00DF6653" w:rsidRDefault="00C41FAE">
          <w:pPr>
            <w:tabs>
              <w:tab w:val="left" w:pos="8300"/>
            </w:tabs>
            <w:ind w:right="200"/>
            <w:jc w:val="right"/>
            <w:rPr>
              <w:rFonts w:ascii="ZapfHumnst BT" w:hAnsi="ZapfHumnst BT"/>
              <w:b/>
              <w:sz w:val="24"/>
              <w:lang w:val="es-ES"/>
            </w:rPr>
          </w:pPr>
        </w:p>
        <w:p w14:paraId="1E882597" w14:textId="77777777" w:rsidR="00C41FAE" w:rsidRPr="00DF6653" w:rsidRDefault="00C41FAE">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114FDF"/>
    <w:multiLevelType w:val="hybridMultilevel"/>
    <w:tmpl w:val="DDF0D4D6"/>
    <w:lvl w:ilvl="0" w:tplc="677EE4D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5"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1058473549">
    <w:abstractNumId w:val="0"/>
  </w:num>
  <w:num w:numId="2" w16cid:durableId="502672333">
    <w:abstractNumId w:val="2"/>
  </w:num>
  <w:num w:numId="3" w16cid:durableId="2108116514">
    <w:abstractNumId w:val="5"/>
  </w:num>
  <w:num w:numId="4" w16cid:durableId="1147668926">
    <w:abstractNumId w:val="1"/>
  </w:num>
  <w:num w:numId="5" w16cid:durableId="444662741">
    <w:abstractNumId w:val="4"/>
  </w:num>
  <w:num w:numId="6" w16cid:durableId="264072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0996"/>
    <w:rsid w:val="00036C89"/>
    <w:rsid w:val="00047907"/>
    <w:rsid w:val="0006494B"/>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959C7"/>
    <w:rsid w:val="001E2B56"/>
    <w:rsid w:val="00204E6D"/>
    <w:rsid w:val="00211705"/>
    <w:rsid w:val="00214619"/>
    <w:rsid w:val="002178DF"/>
    <w:rsid w:val="00222921"/>
    <w:rsid w:val="0024202E"/>
    <w:rsid w:val="0025504C"/>
    <w:rsid w:val="002909CF"/>
    <w:rsid w:val="002A6325"/>
    <w:rsid w:val="003001F7"/>
    <w:rsid w:val="003154A6"/>
    <w:rsid w:val="0031615C"/>
    <w:rsid w:val="00357A92"/>
    <w:rsid w:val="003701A5"/>
    <w:rsid w:val="00375A06"/>
    <w:rsid w:val="00394C7C"/>
    <w:rsid w:val="003B26CD"/>
    <w:rsid w:val="003F65CC"/>
    <w:rsid w:val="00420099"/>
    <w:rsid w:val="00426E20"/>
    <w:rsid w:val="004571A3"/>
    <w:rsid w:val="00471B76"/>
    <w:rsid w:val="004A7659"/>
    <w:rsid w:val="004B39D5"/>
    <w:rsid w:val="004D474D"/>
    <w:rsid w:val="004D7CD7"/>
    <w:rsid w:val="004E2D44"/>
    <w:rsid w:val="004E74AB"/>
    <w:rsid w:val="005156A2"/>
    <w:rsid w:val="005165B4"/>
    <w:rsid w:val="005175FB"/>
    <w:rsid w:val="005308BE"/>
    <w:rsid w:val="005315BE"/>
    <w:rsid w:val="00532018"/>
    <w:rsid w:val="005863A9"/>
    <w:rsid w:val="005962C2"/>
    <w:rsid w:val="005A57AD"/>
    <w:rsid w:val="005B391F"/>
    <w:rsid w:val="005B5405"/>
    <w:rsid w:val="005B6C85"/>
    <w:rsid w:val="005C4FF3"/>
    <w:rsid w:val="005C60FF"/>
    <w:rsid w:val="0061784F"/>
    <w:rsid w:val="00620569"/>
    <w:rsid w:val="006445B1"/>
    <w:rsid w:val="00656EAA"/>
    <w:rsid w:val="00662EE2"/>
    <w:rsid w:val="00686D89"/>
    <w:rsid w:val="006A0040"/>
    <w:rsid w:val="006C2785"/>
    <w:rsid w:val="006C62B8"/>
    <w:rsid w:val="006D315B"/>
    <w:rsid w:val="006D63BD"/>
    <w:rsid w:val="006F3040"/>
    <w:rsid w:val="007043EB"/>
    <w:rsid w:val="00762C5B"/>
    <w:rsid w:val="007907D1"/>
    <w:rsid w:val="007A0652"/>
    <w:rsid w:val="007C4674"/>
    <w:rsid w:val="007C70B1"/>
    <w:rsid w:val="00804806"/>
    <w:rsid w:val="00825084"/>
    <w:rsid w:val="0082548B"/>
    <w:rsid w:val="008264D0"/>
    <w:rsid w:val="008325E6"/>
    <w:rsid w:val="00835CCA"/>
    <w:rsid w:val="0084584A"/>
    <w:rsid w:val="00855704"/>
    <w:rsid w:val="00857D7C"/>
    <w:rsid w:val="008819AD"/>
    <w:rsid w:val="00897200"/>
    <w:rsid w:val="008A61D6"/>
    <w:rsid w:val="008B66E9"/>
    <w:rsid w:val="008B6C29"/>
    <w:rsid w:val="008F141E"/>
    <w:rsid w:val="008F2196"/>
    <w:rsid w:val="0096041A"/>
    <w:rsid w:val="0097711D"/>
    <w:rsid w:val="009801AE"/>
    <w:rsid w:val="00982377"/>
    <w:rsid w:val="00986B91"/>
    <w:rsid w:val="009AAF5A"/>
    <w:rsid w:val="009B3A2A"/>
    <w:rsid w:val="009B7B6A"/>
    <w:rsid w:val="009E427F"/>
    <w:rsid w:val="00A0122F"/>
    <w:rsid w:val="00A339A9"/>
    <w:rsid w:val="00A4159C"/>
    <w:rsid w:val="00A51807"/>
    <w:rsid w:val="00A6371A"/>
    <w:rsid w:val="00AA2672"/>
    <w:rsid w:val="00AB17C2"/>
    <w:rsid w:val="00AC7840"/>
    <w:rsid w:val="00B3071D"/>
    <w:rsid w:val="00B3194A"/>
    <w:rsid w:val="00B335FC"/>
    <w:rsid w:val="00B42446"/>
    <w:rsid w:val="00B47FB3"/>
    <w:rsid w:val="00B52A9B"/>
    <w:rsid w:val="00B64C14"/>
    <w:rsid w:val="00B71FAB"/>
    <w:rsid w:val="00B83494"/>
    <w:rsid w:val="00BC317B"/>
    <w:rsid w:val="00BC4225"/>
    <w:rsid w:val="00BF172C"/>
    <w:rsid w:val="00C05C35"/>
    <w:rsid w:val="00C14398"/>
    <w:rsid w:val="00C407E9"/>
    <w:rsid w:val="00C41FAE"/>
    <w:rsid w:val="00C439D7"/>
    <w:rsid w:val="00C47412"/>
    <w:rsid w:val="00C52356"/>
    <w:rsid w:val="00C57390"/>
    <w:rsid w:val="00C9294D"/>
    <w:rsid w:val="00CD1C09"/>
    <w:rsid w:val="00CF50F0"/>
    <w:rsid w:val="00CF7528"/>
    <w:rsid w:val="00D10A19"/>
    <w:rsid w:val="00D26C36"/>
    <w:rsid w:val="00D80FAB"/>
    <w:rsid w:val="00D87E29"/>
    <w:rsid w:val="00D96B94"/>
    <w:rsid w:val="00DC4830"/>
    <w:rsid w:val="00DF3FB6"/>
    <w:rsid w:val="00DF6653"/>
    <w:rsid w:val="00E06311"/>
    <w:rsid w:val="00E16756"/>
    <w:rsid w:val="00E41667"/>
    <w:rsid w:val="00E55E58"/>
    <w:rsid w:val="00E648C4"/>
    <w:rsid w:val="00E70641"/>
    <w:rsid w:val="00E71456"/>
    <w:rsid w:val="00E879C2"/>
    <w:rsid w:val="00ED49AA"/>
    <w:rsid w:val="00EE239A"/>
    <w:rsid w:val="00EE3CD2"/>
    <w:rsid w:val="00F41393"/>
    <w:rsid w:val="00F4553D"/>
    <w:rsid w:val="00F62A22"/>
    <w:rsid w:val="00F63C10"/>
    <w:rsid w:val="00FA216B"/>
    <w:rsid w:val="00FB5584"/>
    <w:rsid w:val="00FE72DF"/>
    <w:rsid w:val="07DD0390"/>
    <w:rsid w:val="11E85E16"/>
    <w:rsid w:val="12E905C2"/>
    <w:rsid w:val="13273E1B"/>
    <w:rsid w:val="1484D623"/>
    <w:rsid w:val="14A91CD1"/>
    <w:rsid w:val="1E3B3F13"/>
    <w:rsid w:val="1E3EC440"/>
    <w:rsid w:val="23ED5CD9"/>
    <w:rsid w:val="24107497"/>
    <w:rsid w:val="24C72E21"/>
    <w:rsid w:val="25AC44F8"/>
    <w:rsid w:val="271164E4"/>
    <w:rsid w:val="27A1DE87"/>
    <w:rsid w:val="298176E7"/>
    <w:rsid w:val="2C091CB5"/>
    <w:rsid w:val="31A67A77"/>
    <w:rsid w:val="34DE1B39"/>
    <w:rsid w:val="3815BBFB"/>
    <w:rsid w:val="38CB4695"/>
    <w:rsid w:val="3DD5682D"/>
    <w:rsid w:val="40265D86"/>
    <w:rsid w:val="4344D5EB"/>
    <w:rsid w:val="4D3114C2"/>
    <w:rsid w:val="50FF881B"/>
    <w:rsid w:val="5362E73B"/>
    <w:rsid w:val="55D2F93E"/>
    <w:rsid w:val="569A87FD"/>
    <w:rsid w:val="590A9A00"/>
    <w:rsid w:val="5B8B8138"/>
    <w:rsid w:val="5EC6B962"/>
    <w:rsid w:val="5FA47B26"/>
    <w:rsid w:val="5FA5456F"/>
    <w:rsid w:val="61DD3AA4"/>
    <w:rsid w:val="683353CB"/>
    <w:rsid w:val="6E313856"/>
    <w:rsid w:val="6E34CFBE"/>
    <w:rsid w:val="73891249"/>
    <w:rsid w:val="743629DF"/>
    <w:rsid w:val="746439BF"/>
    <w:rsid w:val="76C0B30B"/>
    <w:rsid w:val="77A16A27"/>
    <w:rsid w:val="785C836C"/>
    <w:rsid w:val="7D49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F65C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styleId="FootnoteText">
    <w:name w:val="footnote text"/>
    <w:basedOn w:val="Normal"/>
    <w:link w:val="FootnoteTextChar"/>
    <w:uiPriority w:val="99"/>
    <w:unhideWhenUsed/>
    <w:rsid w:val="00420099"/>
    <w:rPr>
      <w:rFonts w:asciiTheme="minorHAnsi" w:eastAsiaTheme="minorEastAsia" w:hAnsiTheme="minorHAnsi"/>
    </w:rPr>
  </w:style>
  <w:style w:type="character" w:customStyle="1" w:styleId="FootnoteTextChar">
    <w:name w:val="Footnote Text Char"/>
    <w:basedOn w:val="DefaultParagraphFont"/>
    <w:link w:val="FootnoteText"/>
    <w:uiPriority w:val="99"/>
    <w:rsid w:val="00420099"/>
    <w:rPr>
      <w:rFonts w:asciiTheme="minorHAnsi" w:eastAsiaTheme="minorEastAsia" w:hAnsiTheme="minorHAnsi"/>
    </w:rPr>
  </w:style>
  <w:style w:type="character" w:styleId="FootnoteReference">
    <w:name w:val="footnote reference"/>
    <w:basedOn w:val="DefaultParagraphFont"/>
    <w:uiPriority w:val="99"/>
    <w:unhideWhenUsed/>
    <w:rsid w:val="00420099"/>
    <w:rPr>
      <w:vertAlign w:val="superscript"/>
    </w:rPr>
  </w:style>
  <w:style w:type="character" w:customStyle="1" w:styleId="Heading1Char">
    <w:name w:val="Heading 1 Char"/>
    <w:basedOn w:val="DefaultParagraphFont"/>
    <w:link w:val="Heading1"/>
    <w:rsid w:val="003F65C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3F65CC"/>
    <w:pPr>
      <w:ind w:left="720"/>
      <w:contextualSpacing/>
    </w:pPr>
    <w:rPr>
      <w:rFonts w:eastAsia="Calibri"/>
    </w:rPr>
  </w:style>
  <w:style w:type="character" w:customStyle="1" w:styleId="href">
    <w:name w:val="href"/>
    <w:rsid w:val="003F65CC"/>
  </w:style>
  <w:style w:type="paragraph" w:customStyle="1" w:styleId="ArtNo">
    <w:name w:val="Art_No"/>
    <w:basedOn w:val="Normal"/>
    <w:next w:val="Arttitle"/>
    <w:link w:val="ArtNoChar"/>
    <w:rsid w:val="003F65C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3F65CC"/>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link w:val="Arttitle"/>
    <w:rsid w:val="003F65CC"/>
    <w:rPr>
      <w:b/>
      <w:sz w:val="28"/>
      <w:lang w:val="en-GB"/>
    </w:rPr>
  </w:style>
  <w:style w:type="character" w:customStyle="1" w:styleId="ArtNoChar">
    <w:name w:val="Art_No Char"/>
    <w:link w:val="ArtNo"/>
    <w:rsid w:val="003F65CC"/>
    <w:rPr>
      <w:caps/>
      <w:sz w:val="28"/>
      <w:lang w:val="en-GB"/>
    </w:rPr>
  </w:style>
  <w:style w:type="character" w:customStyle="1" w:styleId="Artref">
    <w:name w:val="Art_ref"/>
    <w:rsid w:val="003F65CC"/>
  </w:style>
  <w:style w:type="paragraph" w:customStyle="1" w:styleId="Section1">
    <w:name w:val="Section_1"/>
    <w:basedOn w:val="Normal"/>
    <w:rsid w:val="003F65CC"/>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Tablefreq">
    <w:name w:val="Table_freq"/>
    <w:rsid w:val="003F65CC"/>
    <w:rPr>
      <w:b/>
      <w:color w:val="auto"/>
      <w:sz w:val="20"/>
    </w:rPr>
  </w:style>
  <w:style w:type="paragraph" w:customStyle="1" w:styleId="Tablehead">
    <w:name w:val="Table_head"/>
    <w:basedOn w:val="Normal"/>
    <w:rsid w:val="003F65CC"/>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paragraph" w:customStyle="1" w:styleId="Proposal">
    <w:name w:val="Proposal"/>
    <w:basedOn w:val="Normal"/>
    <w:next w:val="Normal"/>
    <w:rsid w:val="003F65CC"/>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rsid w:val="003F65CC"/>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Tabletitle">
    <w:name w:val="Table_title"/>
    <w:basedOn w:val="Normal"/>
    <w:next w:val="Normal"/>
    <w:rsid w:val="003F65CC"/>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 w:type="paragraph" w:customStyle="1" w:styleId="TableTextS5">
    <w:name w:val="Table_TextS5"/>
    <w:basedOn w:val="Normal"/>
    <w:rsid w:val="003F65CC"/>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en-GB"/>
    </w:rPr>
  </w:style>
  <w:style w:type="character" w:customStyle="1" w:styleId="ListParagraphChar">
    <w:name w:val="List Paragraph Char"/>
    <w:link w:val="ListParagraph"/>
    <w:uiPriority w:val="34"/>
    <w:locked/>
    <w:rsid w:val="003F65CC"/>
    <w:rPr>
      <w:rFonts w:eastAsia="Calibri"/>
    </w:rPr>
  </w:style>
  <w:style w:type="paragraph" w:styleId="BodyText">
    <w:name w:val="Body Text"/>
    <w:basedOn w:val="Normal"/>
    <w:link w:val="BodyTextChar"/>
    <w:rsid w:val="003F65CC"/>
    <w:pPr>
      <w:spacing w:after="120"/>
    </w:pPr>
  </w:style>
  <w:style w:type="character" w:customStyle="1" w:styleId="BodyTextChar">
    <w:name w:val="Body Text Char"/>
    <w:basedOn w:val="DefaultParagraphFont"/>
    <w:link w:val="BodyText"/>
    <w:rsid w:val="003F6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075010827">
      <w:bodyDiv w:val="1"/>
      <w:marLeft w:val="0"/>
      <w:marRight w:val="0"/>
      <w:marTop w:val="0"/>
      <w:marBottom w:val="0"/>
      <w:divBdr>
        <w:top w:val="none" w:sz="0" w:space="0" w:color="auto"/>
        <w:left w:val="none" w:sz="0" w:space="0" w:color="auto"/>
        <w:bottom w:val="none" w:sz="0" w:space="0" w:color="auto"/>
        <w:right w:val="none" w:sz="0" w:space="0" w:color="auto"/>
      </w:divBdr>
    </w:div>
    <w:div w:id="1179468254">
      <w:bodyDiv w:val="1"/>
      <w:marLeft w:val="0"/>
      <w:marRight w:val="0"/>
      <w:marTop w:val="0"/>
      <w:marBottom w:val="0"/>
      <w:divBdr>
        <w:top w:val="none" w:sz="0" w:space="0" w:color="auto"/>
        <w:left w:val="none" w:sz="0" w:space="0" w:color="auto"/>
        <w:bottom w:val="none" w:sz="0" w:space="0" w:color="auto"/>
        <w:right w:val="none" w:sz="0" w:space="0" w:color="auto"/>
      </w:divBdr>
    </w:div>
    <w:div w:id="1300651947">
      <w:bodyDiv w:val="1"/>
      <w:marLeft w:val="0"/>
      <w:marRight w:val="0"/>
      <w:marTop w:val="0"/>
      <w:marBottom w:val="0"/>
      <w:divBdr>
        <w:top w:val="none" w:sz="0" w:space="0" w:color="auto"/>
        <w:left w:val="none" w:sz="0" w:space="0" w:color="auto"/>
        <w:bottom w:val="none" w:sz="0" w:space="0" w:color="auto"/>
        <w:right w:val="none" w:sz="0" w:space="0" w:color="auto"/>
      </w:divBdr>
    </w:div>
    <w:div w:id="14717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genda xmlns="e922daad-afb5-47f2-ab72-43d4d420a50d" xsi:nil="true"/>
    <_dlc_DocId xmlns="e5f45a78-2a57-4e3a-8f35-d14530e19825">6V3PZHU2UA6J-833792473-833</_dlc_DocId>
    <_dlc_DocIdUrl xmlns="e5f45a78-2a57-4e3a-8f35-d14530e19825">
      <Url>https://www.citel.oas.org/en/collaborative/pccii/38_MEX_21/_layouts/DocIdRedir.aspx?ID=6V3PZHU2UA6J-833792473-833</Url>
      <Description>6V3PZHU2UA6J-833792473-833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60EE6D0829C6348B37977CD0B18AF85" ma:contentTypeVersion="20" ma:contentTypeDescription="Create a new document." ma:contentTypeScope="" ma:versionID="4b40322c4f5b37b58cdeef3791e825e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3.xml><?xml version="1.0" encoding="utf-8"?>
<ds:datastoreItem xmlns:ds="http://schemas.openxmlformats.org/officeDocument/2006/customXml" ds:itemID="{57A03E11-AC17-40FA-89BD-C5CD3305A776}">
  <ds:schemaRefs>
    <ds:schemaRef ds:uri="http://schemas.microsoft.com/sharepoint/events"/>
  </ds:schemaRefs>
</ds:datastoreItem>
</file>

<file path=customXml/itemProps4.xml><?xml version="1.0" encoding="utf-8"?>
<ds:datastoreItem xmlns:ds="http://schemas.openxmlformats.org/officeDocument/2006/customXml" ds:itemID="{37B3796C-D0A3-4797-9A95-0DFB4DBAA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EDBC14-F958-4A1A-9EC1-F122AF00C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PCCII- ENGLISH VERSION</vt:lpstr>
    </vt:vector>
  </TitlesOfParts>
  <Company>CITEL</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PCCII- ENGLISH VERSION</dc:title>
  <dc:subject/>
  <dc:creator>CITEL</dc:creator>
  <cp:keywords/>
  <dc:description>OK</dc:description>
  <cp:lastModifiedBy>FCC</cp:lastModifiedBy>
  <cp:revision>3</cp:revision>
  <cp:lastPrinted>1999-10-11T18:56:00Z</cp:lastPrinted>
  <dcterms:created xsi:type="dcterms:W3CDTF">2022-03-29T18:12:00Z</dcterms:created>
  <dcterms:modified xsi:type="dcterms:W3CDTF">2022-03-29T20:24:00Z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0x010100760EE6D0829C6348B37977CD0B18AF85</vt:lpwstr>
  </property>
  <property fmtid="{D5CDD505-2E9C-101B-9397-08002B2CF9AE}" pid="3" name="_dlc_DocIdItemGuid">
    <vt:lpwstr>6e137f76-fa3c-418d-a828-2a777096757d</vt:lpwstr>
  </property>
  <property fmtid="{D5CDD505-2E9C-101B-9397-08002B2CF9AE}" pid="4" name="PublishingExpirationDate">
    <vt:lpwstr/>
  </property>
  <property fmtid="{D5CDD505-2E9C-101B-9397-08002B2CF9AE}" pid="5" name="PublishingStartDate">
    <vt:lpwstr/>
  </property>
</Properties>
</file>